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54" w:rsidRDefault="00254954" w:rsidP="00254954">
      <w:pPr>
        <w:bidi/>
        <w:jc w:val="both"/>
        <w:rPr>
          <w:rFonts w:ascii="IRBadr" w:hAnsi="IRBadr" w:cs="IRBadr"/>
          <w:sz w:val="28"/>
          <w:szCs w:val="28"/>
          <w:rtl/>
          <w:lang w:bidi="fa-IR"/>
        </w:rPr>
      </w:pPr>
      <w:r w:rsidRPr="0064055E">
        <w:rPr>
          <w:rFonts w:ascii="IRBadr" w:hAnsi="IRBadr" w:cs="IRBadr"/>
          <w:sz w:val="28"/>
          <w:szCs w:val="28"/>
          <w:rtl/>
          <w:lang w:bidi="fa-IR"/>
        </w:rPr>
        <w:t>بسم‌الله الرحمن الرحیم</w:t>
      </w:r>
    </w:p>
    <w:p w:rsidR="0064055E" w:rsidRDefault="0064055E" w:rsidP="0064055E">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64055E" w:rsidRDefault="0064055E" w:rsidP="0064055E">
      <w:pPr>
        <w:pStyle w:val="TOC1"/>
        <w:tabs>
          <w:tab w:val="right" w:leader="dot" w:pos="9350"/>
        </w:tabs>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7990778" w:history="1">
        <w:r w:rsidRPr="00B55D23">
          <w:rPr>
            <w:rStyle w:val="Hyperlink"/>
            <w:rFonts w:ascii="IRBadr" w:hAnsi="IRBadr" w:cs="IRBadr" w:hint="eastAsia"/>
            <w:noProof/>
            <w:rtl/>
          </w:rPr>
          <w:t>حد</w:t>
        </w:r>
        <w:r w:rsidRPr="00B55D23">
          <w:rPr>
            <w:rStyle w:val="Hyperlink"/>
            <w:rFonts w:ascii="IRBadr" w:hAnsi="IRBadr" w:cs="IRBadr"/>
            <w:noProof/>
            <w:rtl/>
          </w:rPr>
          <w:t xml:space="preserve"> </w:t>
        </w:r>
        <w:r w:rsidRPr="00B55D23">
          <w:rPr>
            <w:rStyle w:val="Hyperlink"/>
            <w:rFonts w:ascii="IRBadr" w:hAnsi="IRBadr" w:cs="IRBadr" w:hint="eastAsia"/>
            <w:noProof/>
            <w:rtl/>
          </w:rPr>
          <w:t>مرتد</w:t>
        </w:r>
        <w:r>
          <w:rPr>
            <w:noProof/>
            <w:webHidden/>
          </w:rPr>
          <w:tab/>
        </w:r>
        <w:r>
          <w:rPr>
            <w:rStyle w:val="Hyperlink"/>
            <w:noProof/>
            <w:rtl/>
          </w:rPr>
          <w:fldChar w:fldCharType="begin"/>
        </w:r>
        <w:r>
          <w:rPr>
            <w:noProof/>
            <w:webHidden/>
          </w:rPr>
          <w:instrText xml:space="preserve"> PAGEREF _Toc427990778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64055E" w:rsidRDefault="00C139A7" w:rsidP="0064055E">
      <w:pPr>
        <w:pStyle w:val="TOC1"/>
        <w:tabs>
          <w:tab w:val="right" w:leader="dot" w:pos="9350"/>
        </w:tabs>
        <w:rPr>
          <w:rFonts w:asciiTheme="minorHAnsi" w:hAnsiTheme="minorHAnsi" w:cstheme="minorBidi"/>
          <w:noProof/>
          <w:szCs w:val="22"/>
        </w:rPr>
      </w:pPr>
      <w:hyperlink w:anchor="_Toc427990779" w:history="1">
        <w:r w:rsidR="0064055E" w:rsidRPr="00B55D23">
          <w:rPr>
            <w:rStyle w:val="Hyperlink"/>
            <w:rFonts w:ascii="IRBadr" w:hAnsi="IRBadr" w:cs="IRBadr" w:hint="eastAsia"/>
            <w:noProof/>
            <w:rtl/>
          </w:rPr>
          <w:t>اقوال</w:t>
        </w:r>
        <w:r w:rsidR="0064055E" w:rsidRPr="00B55D23">
          <w:rPr>
            <w:rStyle w:val="Hyperlink"/>
            <w:rFonts w:ascii="IRBadr" w:hAnsi="IRBadr" w:cs="IRBadr"/>
            <w:noProof/>
            <w:rtl/>
          </w:rPr>
          <w:t xml:space="preserve"> </w:t>
        </w:r>
        <w:r w:rsidR="0064055E" w:rsidRPr="00B55D23">
          <w:rPr>
            <w:rStyle w:val="Hyperlink"/>
            <w:rFonts w:ascii="IRBadr" w:hAnsi="IRBadr" w:cs="IRBadr" w:hint="eastAsia"/>
            <w:noProof/>
            <w:rtl/>
          </w:rPr>
          <w:t>در</w:t>
        </w:r>
        <w:r w:rsidR="0064055E" w:rsidRPr="00B55D23">
          <w:rPr>
            <w:rStyle w:val="Hyperlink"/>
            <w:rFonts w:ascii="IRBadr" w:hAnsi="IRBadr" w:cs="IRBadr"/>
            <w:noProof/>
            <w:rtl/>
          </w:rPr>
          <w:t xml:space="preserve"> </w:t>
        </w:r>
        <w:r w:rsidR="0064055E" w:rsidRPr="00B55D23">
          <w:rPr>
            <w:rStyle w:val="Hyperlink"/>
            <w:rFonts w:ascii="IRBadr" w:hAnsi="IRBadr" w:cs="IRBadr" w:hint="eastAsia"/>
            <w:noProof/>
            <w:rtl/>
          </w:rPr>
          <w:t>توبه</w:t>
        </w:r>
        <w:r w:rsidR="0064055E" w:rsidRPr="00B55D23">
          <w:rPr>
            <w:rStyle w:val="Hyperlink"/>
            <w:rFonts w:ascii="IRBadr" w:hAnsi="IRBadr" w:cs="IRBadr"/>
            <w:noProof/>
            <w:rtl/>
          </w:rPr>
          <w:t xml:space="preserve"> </w:t>
        </w:r>
        <w:r w:rsidR="0064055E" w:rsidRPr="00B55D23">
          <w:rPr>
            <w:rStyle w:val="Hyperlink"/>
            <w:rFonts w:ascii="IRBadr" w:hAnsi="IRBadr" w:cs="IRBadr" w:hint="eastAsia"/>
            <w:noProof/>
            <w:rtl/>
          </w:rPr>
          <w:t>مرتد</w:t>
        </w:r>
        <w:r w:rsidR="0064055E">
          <w:rPr>
            <w:noProof/>
            <w:webHidden/>
          </w:rPr>
          <w:tab/>
        </w:r>
        <w:r w:rsidR="0064055E">
          <w:rPr>
            <w:rStyle w:val="Hyperlink"/>
            <w:noProof/>
            <w:rtl/>
          </w:rPr>
          <w:fldChar w:fldCharType="begin"/>
        </w:r>
        <w:r w:rsidR="0064055E">
          <w:rPr>
            <w:noProof/>
            <w:webHidden/>
          </w:rPr>
          <w:instrText xml:space="preserve"> PAGEREF _Toc427990779 \h </w:instrText>
        </w:r>
        <w:r w:rsidR="0064055E">
          <w:rPr>
            <w:rStyle w:val="Hyperlink"/>
            <w:noProof/>
            <w:rtl/>
          </w:rPr>
        </w:r>
        <w:r w:rsidR="0064055E">
          <w:rPr>
            <w:rStyle w:val="Hyperlink"/>
            <w:noProof/>
            <w:rtl/>
          </w:rPr>
          <w:fldChar w:fldCharType="separate"/>
        </w:r>
        <w:r w:rsidR="0064055E">
          <w:rPr>
            <w:noProof/>
            <w:webHidden/>
          </w:rPr>
          <w:t>1</w:t>
        </w:r>
        <w:r w:rsidR="0064055E">
          <w:rPr>
            <w:rStyle w:val="Hyperlink"/>
            <w:noProof/>
            <w:rtl/>
          </w:rPr>
          <w:fldChar w:fldCharType="end"/>
        </w:r>
      </w:hyperlink>
    </w:p>
    <w:p w:rsidR="0064055E" w:rsidRDefault="00C139A7" w:rsidP="0064055E">
      <w:pPr>
        <w:pStyle w:val="TOC1"/>
        <w:tabs>
          <w:tab w:val="right" w:leader="dot" w:pos="9350"/>
        </w:tabs>
        <w:rPr>
          <w:rFonts w:asciiTheme="minorHAnsi" w:hAnsiTheme="minorHAnsi" w:cstheme="minorBidi"/>
          <w:noProof/>
          <w:szCs w:val="22"/>
        </w:rPr>
      </w:pPr>
      <w:hyperlink w:anchor="_Toc427990780" w:history="1">
        <w:r w:rsidR="0064055E" w:rsidRPr="00B55D23">
          <w:rPr>
            <w:rStyle w:val="Hyperlink"/>
            <w:rFonts w:ascii="IRBadr" w:hAnsi="IRBadr" w:cs="IRBadr" w:hint="eastAsia"/>
            <w:noProof/>
            <w:rtl/>
          </w:rPr>
          <w:t>قول</w:t>
        </w:r>
        <w:r w:rsidR="0064055E" w:rsidRPr="00B55D23">
          <w:rPr>
            <w:rStyle w:val="Hyperlink"/>
            <w:rFonts w:ascii="IRBadr" w:hAnsi="IRBadr" w:cs="IRBadr"/>
            <w:noProof/>
            <w:rtl/>
          </w:rPr>
          <w:t xml:space="preserve"> </w:t>
        </w:r>
        <w:r w:rsidR="0064055E" w:rsidRPr="00B55D23">
          <w:rPr>
            <w:rStyle w:val="Hyperlink"/>
            <w:rFonts w:ascii="IRBadr" w:hAnsi="IRBadr" w:cs="IRBadr" w:hint="eastAsia"/>
            <w:noProof/>
            <w:rtl/>
          </w:rPr>
          <w:t>دوم</w:t>
        </w:r>
        <w:r w:rsidR="0064055E" w:rsidRPr="00B55D23">
          <w:rPr>
            <w:rStyle w:val="Hyperlink"/>
            <w:rFonts w:ascii="IRBadr" w:hAnsi="IRBadr" w:cs="IRBadr"/>
            <w:noProof/>
            <w:rtl/>
          </w:rPr>
          <w:t xml:space="preserve"> </w:t>
        </w:r>
        <w:r w:rsidR="0064055E" w:rsidRPr="00B55D23">
          <w:rPr>
            <w:rStyle w:val="Hyperlink"/>
            <w:rFonts w:ascii="IRBadr" w:hAnsi="IRBadr" w:cs="IRBadr" w:hint="eastAsia"/>
            <w:noProof/>
            <w:rtl/>
          </w:rPr>
          <w:t>در</w:t>
        </w:r>
        <w:r w:rsidR="0064055E" w:rsidRPr="00B55D23">
          <w:rPr>
            <w:rStyle w:val="Hyperlink"/>
            <w:rFonts w:ascii="IRBadr" w:hAnsi="IRBadr" w:cs="IRBadr"/>
            <w:noProof/>
            <w:rtl/>
          </w:rPr>
          <w:t xml:space="preserve"> </w:t>
        </w:r>
        <w:r w:rsidR="0064055E" w:rsidRPr="00B55D23">
          <w:rPr>
            <w:rStyle w:val="Hyperlink"/>
            <w:rFonts w:ascii="IRBadr" w:hAnsi="IRBadr" w:cs="IRBadr" w:hint="eastAsia"/>
            <w:noProof/>
            <w:rtl/>
          </w:rPr>
          <w:t>ا</w:t>
        </w:r>
        <w:r w:rsidR="0064055E" w:rsidRPr="00B55D23">
          <w:rPr>
            <w:rStyle w:val="Hyperlink"/>
            <w:rFonts w:ascii="IRBadr" w:hAnsi="IRBadr" w:cs="IRBadr" w:hint="cs"/>
            <w:noProof/>
            <w:rtl/>
          </w:rPr>
          <w:t>ی</w:t>
        </w:r>
        <w:r w:rsidR="0064055E" w:rsidRPr="00B55D23">
          <w:rPr>
            <w:rStyle w:val="Hyperlink"/>
            <w:rFonts w:ascii="IRBadr" w:hAnsi="IRBadr" w:cs="IRBadr" w:hint="eastAsia"/>
            <w:noProof/>
            <w:rtl/>
          </w:rPr>
          <w:t>ن</w:t>
        </w:r>
        <w:r w:rsidR="0064055E" w:rsidRPr="00B55D23">
          <w:rPr>
            <w:rStyle w:val="Hyperlink"/>
            <w:rFonts w:ascii="IRBadr" w:hAnsi="IRBadr" w:cs="IRBadr"/>
            <w:noProof/>
            <w:rtl/>
          </w:rPr>
          <w:t xml:space="preserve"> </w:t>
        </w:r>
        <w:r w:rsidR="0064055E" w:rsidRPr="00B55D23">
          <w:rPr>
            <w:rStyle w:val="Hyperlink"/>
            <w:rFonts w:ascii="IRBadr" w:hAnsi="IRBadr" w:cs="IRBadr" w:hint="eastAsia"/>
            <w:noProof/>
            <w:rtl/>
          </w:rPr>
          <w:t>مسئله</w:t>
        </w:r>
        <w:r w:rsidR="0064055E">
          <w:rPr>
            <w:noProof/>
            <w:webHidden/>
          </w:rPr>
          <w:tab/>
        </w:r>
        <w:r w:rsidR="0064055E">
          <w:rPr>
            <w:rStyle w:val="Hyperlink"/>
            <w:noProof/>
            <w:rtl/>
          </w:rPr>
          <w:fldChar w:fldCharType="begin"/>
        </w:r>
        <w:r w:rsidR="0064055E">
          <w:rPr>
            <w:noProof/>
            <w:webHidden/>
          </w:rPr>
          <w:instrText xml:space="preserve"> PAGEREF _Toc427990780 \h </w:instrText>
        </w:r>
        <w:r w:rsidR="0064055E">
          <w:rPr>
            <w:rStyle w:val="Hyperlink"/>
            <w:noProof/>
            <w:rtl/>
          </w:rPr>
        </w:r>
        <w:r w:rsidR="0064055E">
          <w:rPr>
            <w:rStyle w:val="Hyperlink"/>
            <w:noProof/>
            <w:rtl/>
          </w:rPr>
          <w:fldChar w:fldCharType="separate"/>
        </w:r>
        <w:r w:rsidR="0064055E">
          <w:rPr>
            <w:noProof/>
            <w:webHidden/>
          </w:rPr>
          <w:t>2</w:t>
        </w:r>
        <w:r w:rsidR="0064055E">
          <w:rPr>
            <w:rStyle w:val="Hyperlink"/>
            <w:noProof/>
            <w:rtl/>
          </w:rPr>
          <w:fldChar w:fldCharType="end"/>
        </w:r>
      </w:hyperlink>
    </w:p>
    <w:p w:rsidR="0064055E" w:rsidRDefault="00C139A7" w:rsidP="0064055E">
      <w:pPr>
        <w:pStyle w:val="TOC1"/>
        <w:tabs>
          <w:tab w:val="right" w:leader="dot" w:pos="9350"/>
        </w:tabs>
        <w:rPr>
          <w:rFonts w:asciiTheme="minorHAnsi" w:hAnsiTheme="minorHAnsi" w:cstheme="minorBidi"/>
          <w:noProof/>
          <w:szCs w:val="22"/>
        </w:rPr>
      </w:pPr>
      <w:hyperlink w:anchor="_Toc427990781" w:history="1">
        <w:r w:rsidR="0064055E" w:rsidRPr="00B55D23">
          <w:rPr>
            <w:rStyle w:val="Hyperlink"/>
            <w:rFonts w:ascii="IRBadr" w:hAnsi="IRBadr" w:cs="IRBadr" w:hint="eastAsia"/>
            <w:noProof/>
            <w:rtl/>
          </w:rPr>
          <w:t>قول</w:t>
        </w:r>
        <w:r w:rsidR="0064055E" w:rsidRPr="00B55D23">
          <w:rPr>
            <w:rStyle w:val="Hyperlink"/>
            <w:rFonts w:ascii="IRBadr" w:hAnsi="IRBadr" w:cs="IRBadr"/>
            <w:noProof/>
            <w:rtl/>
          </w:rPr>
          <w:t xml:space="preserve"> </w:t>
        </w:r>
        <w:r w:rsidR="0064055E" w:rsidRPr="00B55D23">
          <w:rPr>
            <w:rStyle w:val="Hyperlink"/>
            <w:rFonts w:ascii="IRBadr" w:hAnsi="IRBadr" w:cs="IRBadr" w:hint="eastAsia"/>
            <w:noProof/>
            <w:rtl/>
          </w:rPr>
          <w:t>سوم</w:t>
        </w:r>
        <w:r w:rsidR="0064055E">
          <w:rPr>
            <w:noProof/>
            <w:webHidden/>
          </w:rPr>
          <w:tab/>
        </w:r>
        <w:r w:rsidR="0064055E">
          <w:rPr>
            <w:rStyle w:val="Hyperlink"/>
            <w:noProof/>
            <w:rtl/>
          </w:rPr>
          <w:fldChar w:fldCharType="begin"/>
        </w:r>
        <w:r w:rsidR="0064055E">
          <w:rPr>
            <w:noProof/>
            <w:webHidden/>
          </w:rPr>
          <w:instrText xml:space="preserve"> PAGEREF _Toc427990781 \h </w:instrText>
        </w:r>
        <w:r w:rsidR="0064055E">
          <w:rPr>
            <w:rStyle w:val="Hyperlink"/>
            <w:noProof/>
            <w:rtl/>
          </w:rPr>
        </w:r>
        <w:r w:rsidR="0064055E">
          <w:rPr>
            <w:rStyle w:val="Hyperlink"/>
            <w:noProof/>
            <w:rtl/>
          </w:rPr>
          <w:fldChar w:fldCharType="separate"/>
        </w:r>
        <w:r w:rsidR="0064055E">
          <w:rPr>
            <w:noProof/>
            <w:webHidden/>
          </w:rPr>
          <w:t>2</w:t>
        </w:r>
        <w:r w:rsidR="0064055E">
          <w:rPr>
            <w:rStyle w:val="Hyperlink"/>
            <w:noProof/>
            <w:rtl/>
          </w:rPr>
          <w:fldChar w:fldCharType="end"/>
        </w:r>
      </w:hyperlink>
    </w:p>
    <w:p w:rsidR="0064055E" w:rsidRDefault="00C139A7" w:rsidP="0064055E">
      <w:pPr>
        <w:pStyle w:val="TOC1"/>
        <w:tabs>
          <w:tab w:val="right" w:leader="dot" w:pos="9350"/>
        </w:tabs>
        <w:rPr>
          <w:rFonts w:asciiTheme="minorHAnsi" w:hAnsiTheme="minorHAnsi" w:cstheme="minorBidi"/>
          <w:noProof/>
          <w:szCs w:val="22"/>
        </w:rPr>
      </w:pPr>
      <w:hyperlink w:anchor="_Toc427990782" w:history="1">
        <w:r w:rsidR="0064055E" w:rsidRPr="00B55D23">
          <w:rPr>
            <w:rStyle w:val="Hyperlink"/>
            <w:rFonts w:ascii="IRBadr" w:hAnsi="IRBadr" w:cs="IRBadr" w:hint="eastAsia"/>
            <w:noProof/>
            <w:rtl/>
          </w:rPr>
          <w:t>احتمال</w:t>
        </w:r>
        <w:r w:rsidR="0064055E" w:rsidRPr="00B55D23">
          <w:rPr>
            <w:rStyle w:val="Hyperlink"/>
            <w:rFonts w:ascii="IRBadr" w:hAnsi="IRBadr" w:cs="IRBadr"/>
            <w:noProof/>
            <w:rtl/>
          </w:rPr>
          <w:t xml:space="preserve"> </w:t>
        </w:r>
        <w:r w:rsidR="0064055E" w:rsidRPr="00B55D23">
          <w:rPr>
            <w:rStyle w:val="Hyperlink"/>
            <w:rFonts w:ascii="IRBadr" w:hAnsi="IRBadr" w:cs="IRBadr" w:hint="eastAsia"/>
            <w:noProof/>
            <w:rtl/>
          </w:rPr>
          <w:t>چهارم</w:t>
        </w:r>
        <w:r w:rsidR="0064055E">
          <w:rPr>
            <w:noProof/>
            <w:webHidden/>
          </w:rPr>
          <w:tab/>
        </w:r>
        <w:r w:rsidR="0064055E">
          <w:rPr>
            <w:rStyle w:val="Hyperlink"/>
            <w:noProof/>
            <w:rtl/>
          </w:rPr>
          <w:fldChar w:fldCharType="begin"/>
        </w:r>
        <w:r w:rsidR="0064055E">
          <w:rPr>
            <w:noProof/>
            <w:webHidden/>
          </w:rPr>
          <w:instrText xml:space="preserve"> PAGEREF _Toc427990782 \h </w:instrText>
        </w:r>
        <w:r w:rsidR="0064055E">
          <w:rPr>
            <w:rStyle w:val="Hyperlink"/>
            <w:noProof/>
            <w:rtl/>
          </w:rPr>
        </w:r>
        <w:r w:rsidR="0064055E">
          <w:rPr>
            <w:rStyle w:val="Hyperlink"/>
            <w:noProof/>
            <w:rtl/>
          </w:rPr>
          <w:fldChar w:fldCharType="separate"/>
        </w:r>
        <w:r w:rsidR="0064055E">
          <w:rPr>
            <w:noProof/>
            <w:webHidden/>
          </w:rPr>
          <w:t>2</w:t>
        </w:r>
        <w:r w:rsidR="0064055E">
          <w:rPr>
            <w:rStyle w:val="Hyperlink"/>
            <w:noProof/>
            <w:rtl/>
          </w:rPr>
          <w:fldChar w:fldCharType="end"/>
        </w:r>
      </w:hyperlink>
    </w:p>
    <w:p w:rsidR="0064055E" w:rsidRDefault="00C139A7" w:rsidP="0064055E">
      <w:pPr>
        <w:pStyle w:val="TOC2"/>
        <w:tabs>
          <w:tab w:val="right" w:leader="dot" w:pos="9350"/>
        </w:tabs>
        <w:rPr>
          <w:rFonts w:asciiTheme="minorHAnsi" w:hAnsiTheme="minorHAnsi" w:cstheme="minorBidi"/>
          <w:noProof/>
          <w:szCs w:val="22"/>
        </w:rPr>
      </w:pPr>
      <w:hyperlink w:anchor="_Toc427990783" w:history="1">
        <w:r w:rsidR="0064055E" w:rsidRPr="00B55D23">
          <w:rPr>
            <w:rStyle w:val="Hyperlink"/>
            <w:rFonts w:ascii="IRBadr" w:hAnsi="IRBadr" w:cs="IRBadr" w:hint="eastAsia"/>
            <w:noProof/>
            <w:rtl/>
          </w:rPr>
          <w:t>قول</w:t>
        </w:r>
        <w:r w:rsidR="0064055E" w:rsidRPr="00B55D23">
          <w:rPr>
            <w:rStyle w:val="Hyperlink"/>
            <w:rFonts w:ascii="IRBadr" w:hAnsi="IRBadr" w:cs="IRBadr"/>
            <w:noProof/>
            <w:rtl/>
          </w:rPr>
          <w:t xml:space="preserve"> </w:t>
        </w:r>
        <w:r w:rsidR="0064055E" w:rsidRPr="00B55D23">
          <w:rPr>
            <w:rStyle w:val="Hyperlink"/>
            <w:rFonts w:ascii="IRBadr" w:hAnsi="IRBadr" w:cs="IRBadr" w:hint="eastAsia"/>
            <w:noProof/>
            <w:rtl/>
          </w:rPr>
          <w:t>به</w:t>
        </w:r>
        <w:r w:rsidR="0064055E" w:rsidRPr="00B55D23">
          <w:rPr>
            <w:rStyle w:val="Hyperlink"/>
            <w:rFonts w:ascii="IRBadr" w:hAnsi="IRBadr" w:cs="IRBadr"/>
            <w:noProof/>
            <w:rtl/>
          </w:rPr>
          <w:t xml:space="preserve"> </w:t>
        </w:r>
        <w:r w:rsidR="0064055E" w:rsidRPr="00B55D23">
          <w:rPr>
            <w:rStyle w:val="Hyperlink"/>
            <w:rFonts w:ascii="IRBadr" w:hAnsi="IRBadr" w:cs="IRBadr" w:hint="eastAsia"/>
            <w:noProof/>
            <w:rtl/>
          </w:rPr>
          <w:t>عقاب</w:t>
        </w:r>
        <w:r w:rsidR="0064055E" w:rsidRPr="00B55D23">
          <w:rPr>
            <w:rStyle w:val="Hyperlink"/>
            <w:rFonts w:ascii="IRBadr" w:hAnsi="IRBadr" w:cs="IRBadr"/>
            <w:noProof/>
            <w:rtl/>
          </w:rPr>
          <w:t xml:space="preserve"> </w:t>
        </w:r>
        <w:r w:rsidR="0064055E" w:rsidRPr="00B55D23">
          <w:rPr>
            <w:rStyle w:val="Hyperlink"/>
            <w:rFonts w:ascii="IRBadr" w:hAnsi="IRBadr" w:cs="IRBadr" w:hint="eastAsia"/>
            <w:noProof/>
            <w:rtl/>
          </w:rPr>
          <w:t>اخرو</w:t>
        </w:r>
        <w:r w:rsidR="0064055E" w:rsidRPr="00B55D23">
          <w:rPr>
            <w:rStyle w:val="Hyperlink"/>
            <w:rFonts w:ascii="IRBadr" w:hAnsi="IRBadr" w:cs="IRBadr" w:hint="cs"/>
            <w:noProof/>
            <w:rtl/>
          </w:rPr>
          <w:t>ی</w:t>
        </w:r>
        <w:r w:rsidR="0064055E">
          <w:rPr>
            <w:noProof/>
            <w:webHidden/>
          </w:rPr>
          <w:tab/>
        </w:r>
        <w:r w:rsidR="0064055E">
          <w:rPr>
            <w:rStyle w:val="Hyperlink"/>
            <w:noProof/>
            <w:rtl/>
          </w:rPr>
          <w:fldChar w:fldCharType="begin"/>
        </w:r>
        <w:r w:rsidR="0064055E">
          <w:rPr>
            <w:noProof/>
            <w:webHidden/>
          </w:rPr>
          <w:instrText xml:space="preserve"> PAGEREF _Toc427990783 \h </w:instrText>
        </w:r>
        <w:r w:rsidR="0064055E">
          <w:rPr>
            <w:rStyle w:val="Hyperlink"/>
            <w:noProof/>
            <w:rtl/>
          </w:rPr>
        </w:r>
        <w:r w:rsidR="0064055E">
          <w:rPr>
            <w:rStyle w:val="Hyperlink"/>
            <w:noProof/>
            <w:rtl/>
          </w:rPr>
          <w:fldChar w:fldCharType="separate"/>
        </w:r>
        <w:r w:rsidR="0064055E">
          <w:rPr>
            <w:noProof/>
            <w:webHidden/>
          </w:rPr>
          <w:t>3</w:t>
        </w:r>
        <w:r w:rsidR="0064055E">
          <w:rPr>
            <w:rStyle w:val="Hyperlink"/>
            <w:noProof/>
            <w:rtl/>
          </w:rPr>
          <w:fldChar w:fldCharType="end"/>
        </w:r>
      </w:hyperlink>
    </w:p>
    <w:p w:rsidR="0064055E" w:rsidRDefault="00C139A7" w:rsidP="0064055E">
      <w:pPr>
        <w:pStyle w:val="TOC3"/>
        <w:tabs>
          <w:tab w:val="right" w:leader="dot" w:pos="9350"/>
        </w:tabs>
        <w:rPr>
          <w:rFonts w:asciiTheme="minorHAnsi" w:eastAsiaTheme="minorEastAsia" w:hAnsiTheme="minorHAnsi" w:cstheme="minorBidi"/>
          <w:noProof/>
          <w:szCs w:val="22"/>
        </w:rPr>
      </w:pPr>
      <w:hyperlink w:anchor="_Toc427990784" w:history="1">
        <w:r w:rsidR="0064055E" w:rsidRPr="00B55D23">
          <w:rPr>
            <w:rStyle w:val="Hyperlink"/>
            <w:rFonts w:ascii="IRBadr" w:hAnsi="IRBadr" w:cs="IRBadr" w:hint="eastAsia"/>
            <w:noProof/>
            <w:rtl/>
          </w:rPr>
          <w:t>استناد</w:t>
        </w:r>
        <w:r w:rsidR="0064055E" w:rsidRPr="00B55D23">
          <w:rPr>
            <w:rStyle w:val="Hyperlink"/>
            <w:rFonts w:ascii="IRBadr" w:hAnsi="IRBadr" w:cs="IRBadr"/>
            <w:noProof/>
            <w:rtl/>
          </w:rPr>
          <w:t xml:space="preserve"> </w:t>
        </w:r>
        <w:r w:rsidR="0064055E" w:rsidRPr="00B55D23">
          <w:rPr>
            <w:rStyle w:val="Hyperlink"/>
            <w:rFonts w:ascii="IRBadr" w:hAnsi="IRBadr" w:cs="IRBadr" w:hint="eastAsia"/>
            <w:noProof/>
            <w:rtl/>
          </w:rPr>
          <w:t>به</w:t>
        </w:r>
        <w:r w:rsidR="0064055E" w:rsidRPr="00B55D23">
          <w:rPr>
            <w:rStyle w:val="Hyperlink"/>
            <w:rFonts w:ascii="IRBadr" w:hAnsi="IRBadr" w:cs="IRBadr"/>
            <w:noProof/>
            <w:rtl/>
          </w:rPr>
          <w:t xml:space="preserve"> </w:t>
        </w:r>
        <w:r w:rsidR="0064055E" w:rsidRPr="00B55D23">
          <w:rPr>
            <w:rStyle w:val="Hyperlink"/>
            <w:rFonts w:ascii="IRBadr" w:hAnsi="IRBadr" w:cs="IRBadr" w:hint="eastAsia"/>
            <w:noProof/>
            <w:rtl/>
          </w:rPr>
          <w:t>آ</w:t>
        </w:r>
        <w:r w:rsidR="0064055E" w:rsidRPr="00B55D23">
          <w:rPr>
            <w:rStyle w:val="Hyperlink"/>
            <w:rFonts w:ascii="IRBadr" w:hAnsi="IRBadr" w:cs="IRBadr" w:hint="cs"/>
            <w:noProof/>
            <w:rtl/>
          </w:rPr>
          <w:t>ی</w:t>
        </w:r>
        <w:r w:rsidR="0064055E" w:rsidRPr="00B55D23">
          <w:rPr>
            <w:rStyle w:val="Hyperlink"/>
            <w:rFonts w:ascii="IRBadr" w:hAnsi="IRBadr" w:cs="IRBadr" w:hint="eastAsia"/>
            <w:noProof/>
            <w:rtl/>
          </w:rPr>
          <w:t>ات</w:t>
        </w:r>
        <w:r w:rsidR="0064055E" w:rsidRPr="00B55D23">
          <w:rPr>
            <w:rStyle w:val="Hyperlink"/>
            <w:rFonts w:ascii="IRBadr" w:hAnsi="IRBadr" w:cs="IRBadr"/>
            <w:noProof/>
            <w:rtl/>
          </w:rPr>
          <w:t xml:space="preserve"> </w:t>
        </w:r>
        <w:r w:rsidR="0064055E" w:rsidRPr="00B55D23">
          <w:rPr>
            <w:rStyle w:val="Hyperlink"/>
            <w:rFonts w:ascii="IRBadr" w:hAnsi="IRBadr" w:cs="IRBadr" w:hint="eastAsia"/>
            <w:noProof/>
            <w:rtl/>
          </w:rPr>
          <w:t>غفران</w:t>
        </w:r>
        <w:r w:rsidR="0064055E">
          <w:rPr>
            <w:noProof/>
            <w:webHidden/>
          </w:rPr>
          <w:tab/>
        </w:r>
        <w:r w:rsidR="0064055E">
          <w:rPr>
            <w:rStyle w:val="Hyperlink"/>
            <w:noProof/>
            <w:rtl/>
          </w:rPr>
          <w:fldChar w:fldCharType="begin"/>
        </w:r>
        <w:r w:rsidR="0064055E">
          <w:rPr>
            <w:noProof/>
            <w:webHidden/>
          </w:rPr>
          <w:instrText xml:space="preserve"> PAGEREF _Toc427990784 \h </w:instrText>
        </w:r>
        <w:r w:rsidR="0064055E">
          <w:rPr>
            <w:rStyle w:val="Hyperlink"/>
            <w:noProof/>
            <w:rtl/>
          </w:rPr>
        </w:r>
        <w:r w:rsidR="0064055E">
          <w:rPr>
            <w:rStyle w:val="Hyperlink"/>
            <w:noProof/>
            <w:rtl/>
          </w:rPr>
          <w:fldChar w:fldCharType="separate"/>
        </w:r>
        <w:r w:rsidR="0064055E">
          <w:rPr>
            <w:noProof/>
            <w:webHidden/>
          </w:rPr>
          <w:t>3</w:t>
        </w:r>
        <w:r w:rsidR="0064055E">
          <w:rPr>
            <w:rStyle w:val="Hyperlink"/>
            <w:noProof/>
            <w:rtl/>
          </w:rPr>
          <w:fldChar w:fldCharType="end"/>
        </w:r>
      </w:hyperlink>
    </w:p>
    <w:p w:rsidR="0064055E" w:rsidRDefault="00C139A7" w:rsidP="0064055E">
      <w:pPr>
        <w:pStyle w:val="TOC3"/>
        <w:tabs>
          <w:tab w:val="right" w:leader="dot" w:pos="9350"/>
        </w:tabs>
        <w:rPr>
          <w:rFonts w:asciiTheme="minorHAnsi" w:eastAsiaTheme="minorEastAsia" w:hAnsiTheme="minorHAnsi" w:cstheme="minorBidi"/>
          <w:noProof/>
          <w:szCs w:val="22"/>
        </w:rPr>
      </w:pPr>
      <w:hyperlink w:anchor="_Toc427990785" w:history="1">
        <w:r w:rsidR="0064055E" w:rsidRPr="00B55D23">
          <w:rPr>
            <w:rStyle w:val="Hyperlink"/>
            <w:rFonts w:ascii="IRBadr" w:hAnsi="IRBadr" w:cs="IRBadr" w:hint="eastAsia"/>
            <w:noProof/>
            <w:rtl/>
          </w:rPr>
          <w:t>نت</w:t>
        </w:r>
        <w:r w:rsidR="0064055E" w:rsidRPr="00B55D23">
          <w:rPr>
            <w:rStyle w:val="Hyperlink"/>
            <w:rFonts w:ascii="IRBadr" w:hAnsi="IRBadr" w:cs="IRBadr" w:hint="cs"/>
            <w:noProof/>
            <w:rtl/>
          </w:rPr>
          <w:t>ی</w:t>
        </w:r>
        <w:r w:rsidR="0064055E" w:rsidRPr="00B55D23">
          <w:rPr>
            <w:rStyle w:val="Hyperlink"/>
            <w:rFonts w:ascii="IRBadr" w:hAnsi="IRBadr" w:cs="IRBadr" w:hint="eastAsia"/>
            <w:noProof/>
            <w:rtl/>
          </w:rPr>
          <w:t>جه‌گ</w:t>
        </w:r>
        <w:r w:rsidR="0064055E" w:rsidRPr="00B55D23">
          <w:rPr>
            <w:rStyle w:val="Hyperlink"/>
            <w:rFonts w:ascii="IRBadr" w:hAnsi="IRBadr" w:cs="IRBadr" w:hint="cs"/>
            <w:noProof/>
            <w:rtl/>
          </w:rPr>
          <w:t>ی</w:t>
        </w:r>
        <w:r w:rsidR="0064055E" w:rsidRPr="00B55D23">
          <w:rPr>
            <w:rStyle w:val="Hyperlink"/>
            <w:rFonts w:ascii="IRBadr" w:hAnsi="IRBadr" w:cs="IRBadr" w:hint="eastAsia"/>
            <w:noProof/>
            <w:rtl/>
          </w:rPr>
          <w:t>ر</w:t>
        </w:r>
        <w:r w:rsidR="0064055E" w:rsidRPr="00B55D23">
          <w:rPr>
            <w:rStyle w:val="Hyperlink"/>
            <w:rFonts w:ascii="IRBadr" w:hAnsi="IRBadr" w:cs="IRBadr" w:hint="cs"/>
            <w:noProof/>
            <w:rtl/>
          </w:rPr>
          <w:t>ی</w:t>
        </w:r>
        <w:r w:rsidR="0064055E">
          <w:rPr>
            <w:noProof/>
            <w:webHidden/>
          </w:rPr>
          <w:tab/>
        </w:r>
        <w:r w:rsidR="0064055E">
          <w:rPr>
            <w:rStyle w:val="Hyperlink"/>
            <w:noProof/>
            <w:rtl/>
          </w:rPr>
          <w:fldChar w:fldCharType="begin"/>
        </w:r>
        <w:r w:rsidR="0064055E">
          <w:rPr>
            <w:noProof/>
            <w:webHidden/>
          </w:rPr>
          <w:instrText xml:space="preserve"> PAGEREF _Toc427990785 \h </w:instrText>
        </w:r>
        <w:r w:rsidR="0064055E">
          <w:rPr>
            <w:rStyle w:val="Hyperlink"/>
            <w:noProof/>
            <w:rtl/>
          </w:rPr>
        </w:r>
        <w:r w:rsidR="0064055E">
          <w:rPr>
            <w:rStyle w:val="Hyperlink"/>
            <w:noProof/>
            <w:rtl/>
          </w:rPr>
          <w:fldChar w:fldCharType="separate"/>
        </w:r>
        <w:r w:rsidR="0064055E">
          <w:rPr>
            <w:noProof/>
            <w:webHidden/>
          </w:rPr>
          <w:t>3</w:t>
        </w:r>
        <w:r w:rsidR="0064055E">
          <w:rPr>
            <w:rStyle w:val="Hyperlink"/>
            <w:noProof/>
            <w:rtl/>
          </w:rPr>
          <w:fldChar w:fldCharType="end"/>
        </w:r>
      </w:hyperlink>
    </w:p>
    <w:p w:rsidR="0064055E" w:rsidRPr="0064055E" w:rsidRDefault="0064055E" w:rsidP="0064055E">
      <w:pPr>
        <w:bidi/>
        <w:jc w:val="both"/>
        <w:rPr>
          <w:rFonts w:ascii="IRBadr" w:hAnsi="IRBadr" w:cs="IRBadr"/>
          <w:sz w:val="28"/>
          <w:szCs w:val="28"/>
          <w:rtl/>
          <w:lang w:bidi="fa-IR"/>
        </w:rPr>
      </w:pPr>
      <w:r>
        <w:rPr>
          <w:rFonts w:ascii="IRBadr" w:hAnsi="IRBadr" w:cs="IRBadr"/>
          <w:sz w:val="28"/>
          <w:szCs w:val="28"/>
          <w:rtl/>
          <w:lang w:bidi="fa-IR"/>
        </w:rPr>
        <w:fldChar w:fldCharType="end"/>
      </w:r>
    </w:p>
    <w:p w:rsidR="00AD5F48" w:rsidRDefault="00AD5F48">
      <w:pPr>
        <w:spacing w:after="0" w:line="240" w:lineRule="auto"/>
        <w:rPr>
          <w:rFonts w:ascii="IRBadr" w:eastAsia="2  Lotus" w:hAnsi="IRBadr" w:cs="IRBadr"/>
          <w:bCs/>
          <w:sz w:val="28"/>
          <w:szCs w:val="44"/>
          <w:rtl/>
          <w:lang w:bidi="fa-IR"/>
        </w:rPr>
      </w:pPr>
      <w:bookmarkStart w:id="0" w:name="_Toc427990778"/>
      <w:r>
        <w:rPr>
          <w:rFonts w:ascii="IRBadr" w:hAnsi="IRBadr" w:cs="IRBadr"/>
          <w:rtl/>
        </w:rPr>
        <w:br w:type="page"/>
      </w:r>
    </w:p>
    <w:p w:rsidR="00254954" w:rsidRPr="0064055E" w:rsidRDefault="00254954" w:rsidP="00254954">
      <w:pPr>
        <w:pStyle w:val="Heading1"/>
        <w:rPr>
          <w:rFonts w:ascii="IRBadr" w:hAnsi="IRBadr" w:cs="IRBadr"/>
          <w:rtl/>
        </w:rPr>
      </w:pPr>
      <w:bookmarkStart w:id="1" w:name="_GoBack"/>
      <w:bookmarkEnd w:id="1"/>
      <w:r w:rsidRPr="0064055E">
        <w:rPr>
          <w:rFonts w:ascii="IRBadr" w:hAnsi="IRBadr" w:cs="IRBadr"/>
          <w:rtl/>
        </w:rPr>
        <w:lastRenderedPageBreak/>
        <w:t>حد مرتد</w:t>
      </w:r>
      <w:bookmarkEnd w:id="0"/>
    </w:p>
    <w:p w:rsidR="00254954" w:rsidRPr="0064055E" w:rsidRDefault="00254954" w:rsidP="00254954">
      <w:pPr>
        <w:pStyle w:val="Heading1"/>
        <w:rPr>
          <w:rFonts w:ascii="IRBadr" w:hAnsi="IRBadr" w:cs="IRBadr"/>
          <w:rtl/>
        </w:rPr>
      </w:pPr>
      <w:bookmarkStart w:id="2" w:name="_Toc427990779"/>
      <w:r w:rsidRPr="0064055E">
        <w:rPr>
          <w:rFonts w:ascii="IRBadr" w:hAnsi="IRBadr" w:cs="IRBadr"/>
          <w:rtl/>
        </w:rPr>
        <w:t>اقوال در توبه مرتد</w:t>
      </w:r>
      <w:bookmarkEnd w:id="2"/>
    </w:p>
    <w:p w:rsidR="00254954" w:rsidRPr="0064055E" w:rsidRDefault="00254954" w:rsidP="00254954">
      <w:pPr>
        <w:bidi/>
        <w:jc w:val="both"/>
        <w:rPr>
          <w:rFonts w:ascii="IRBadr" w:hAnsi="IRBadr" w:cs="IRBadr"/>
          <w:sz w:val="28"/>
          <w:szCs w:val="28"/>
          <w:rtl/>
          <w:lang w:bidi="fa-IR"/>
        </w:rPr>
      </w:pPr>
      <w:r w:rsidRPr="0064055E">
        <w:rPr>
          <w:rFonts w:ascii="IRBadr" w:hAnsi="IRBadr" w:cs="IRBadr"/>
          <w:sz w:val="28"/>
          <w:szCs w:val="28"/>
          <w:rtl/>
          <w:lang w:bidi="fa-IR"/>
        </w:rPr>
        <w:t>در بحث مرتد فطری میان شیعه و عامه اختلاف‌نظر وجود دارد و می‌توان گفت که عامه بر قبول توبه مرتد فطری اجماع دارند، اما قول نادری نیز مخالفت با این قول وجود دارد، لذا اجماع بیان‌شده را باید این‌گونه تفسیر نمود. در مغنی اقوال عامه را در چندین قول ترتیب دهی نموده است که در یک قول آن‌ها استتابه واجب است، در قول دیگر مستحب بوده که قول شافعی است.</w:t>
      </w:r>
    </w:p>
    <w:p w:rsidR="00254954" w:rsidRPr="0064055E" w:rsidRDefault="00254954" w:rsidP="00254954">
      <w:pPr>
        <w:bidi/>
        <w:jc w:val="both"/>
        <w:rPr>
          <w:rFonts w:ascii="IRBadr" w:hAnsi="IRBadr" w:cs="IRBadr"/>
          <w:sz w:val="28"/>
          <w:szCs w:val="28"/>
          <w:rtl/>
          <w:lang w:bidi="fa-IR"/>
        </w:rPr>
      </w:pPr>
      <w:r w:rsidRPr="0064055E">
        <w:rPr>
          <w:rFonts w:ascii="IRBadr" w:hAnsi="IRBadr" w:cs="IRBadr"/>
          <w:sz w:val="28"/>
          <w:szCs w:val="28"/>
          <w:rtl/>
          <w:lang w:bidi="fa-IR"/>
        </w:rPr>
        <w:t>و قول سوم در میان آن‌ها تفصیل بین فطری و ملی است. البته مصنف این کتاب قول اول را به استناد حدیثی از پیامبر (ص) و صحابه تأیید می‌کند.</w:t>
      </w:r>
    </w:p>
    <w:p w:rsidR="00254954" w:rsidRPr="0064055E" w:rsidRDefault="00254954" w:rsidP="00254954">
      <w:pPr>
        <w:bidi/>
        <w:jc w:val="both"/>
        <w:rPr>
          <w:rFonts w:ascii="IRBadr" w:hAnsi="IRBadr" w:cs="IRBadr"/>
          <w:sz w:val="28"/>
          <w:szCs w:val="28"/>
          <w:rtl/>
          <w:lang w:bidi="fa-IR"/>
        </w:rPr>
      </w:pPr>
      <w:r w:rsidRPr="0064055E">
        <w:rPr>
          <w:rFonts w:ascii="IRBadr" w:hAnsi="IRBadr" w:cs="IRBadr"/>
          <w:sz w:val="28"/>
          <w:szCs w:val="28"/>
          <w:rtl/>
          <w:lang w:bidi="fa-IR"/>
        </w:rPr>
        <w:t>از طرفی نیز در خاصه قولی به شهید ثانی و اسکافی نسبت داده‌شده که مرتد فطری نیز توبه‌اش قبول می‌شود همان‌طور که در فقهای معاصر نیز مرحوم آقای شیرازی بدان قائل بودند. اما روایاتی که در قبال توبه مرتد فطری بود آورده شد و اجمالاً موردبررسی قرار گرفت مانند روایتی که می‌فرمود؛</w:t>
      </w:r>
    </w:p>
    <w:p w:rsidR="00254954" w:rsidRPr="0064055E" w:rsidRDefault="00254954" w:rsidP="00254954">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64055E">
        <w:rPr>
          <w:rFonts w:ascii="IRBadr" w:eastAsia="Times New Roman" w:hAnsi="IRBadr" w:cs="IRBadr"/>
          <w:b/>
          <w:bCs/>
          <w:color w:val="000000" w:themeColor="text1"/>
          <w:sz w:val="28"/>
          <w:szCs w:val="28"/>
          <w:rtl/>
          <w:lang w:bidi="fa-IR"/>
        </w:rPr>
        <w:t xml:space="preserve">«وَ عَنْهُ عَنِ الْعَلَاءِ عَنْ مُحَمَّدِ بْنِ مُسْلِمٍ قَالَ: سَأَلْتُ أَبَا جَعْفَرٍ ع عَنِ الْمُرْتَدِّ فَقَالَ مَنْ رَغِبَ عَنِ الْإِسْلَامِ وَ کفَرَ بِمَا أُنْزِلَ عَلَی مُحَمَّدٍ ص بَعْدَ إِسْلَامِهِ فَلَا تَوْبَةَ لَهُ وَ قَدْ وَجَبَ قَتْلُهُ وَ بَانَتْ مِنْهُ امْرَأَتُهُ وَ یقْسَمُ مَا تَرَک عَلَی وُلْدِهِ.» </w:t>
      </w:r>
      <w:r w:rsidRPr="0064055E">
        <w:rPr>
          <w:rFonts w:ascii="IRBadr" w:eastAsia="Times New Roman" w:hAnsi="IRBadr" w:cs="IRBadr"/>
          <w:b/>
          <w:bCs/>
          <w:color w:val="000000" w:themeColor="text1"/>
          <w:sz w:val="28"/>
          <w:szCs w:val="28"/>
          <w:vertAlign w:val="superscript"/>
          <w:rtl/>
          <w:lang w:bidi="fa-IR"/>
        </w:rPr>
        <w:footnoteReference w:id="1"/>
      </w:r>
    </w:p>
    <w:p w:rsidR="00254954" w:rsidRPr="0064055E" w:rsidRDefault="00254954" w:rsidP="00254954">
      <w:pPr>
        <w:pStyle w:val="Heading1"/>
        <w:rPr>
          <w:rFonts w:ascii="IRBadr" w:hAnsi="IRBadr" w:cs="IRBadr"/>
          <w:rtl/>
        </w:rPr>
      </w:pPr>
      <w:bookmarkStart w:id="3" w:name="_Toc427990780"/>
      <w:r w:rsidRPr="0064055E">
        <w:rPr>
          <w:rFonts w:ascii="IRBadr" w:hAnsi="IRBadr" w:cs="IRBadr"/>
          <w:rtl/>
        </w:rPr>
        <w:t>قول دوم در این مسئله</w:t>
      </w:r>
      <w:bookmarkEnd w:id="3"/>
    </w:p>
    <w:p w:rsidR="00254954" w:rsidRPr="0064055E" w:rsidRDefault="00254954" w:rsidP="00254954">
      <w:pPr>
        <w:bidi/>
        <w:jc w:val="both"/>
        <w:rPr>
          <w:rFonts w:ascii="IRBadr" w:hAnsi="IRBadr" w:cs="IRBadr"/>
          <w:sz w:val="28"/>
          <w:szCs w:val="28"/>
          <w:rtl/>
          <w:lang w:bidi="fa-IR"/>
        </w:rPr>
      </w:pPr>
      <w:r w:rsidRPr="0064055E">
        <w:rPr>
          <w:rFonts w:ascii="IRBadr" w:hAnsi="IRBadr" w:cs="IRBadr"/>
          <w:sz w:val="28"/>
          <w:szCs w:val="28"/>
          <w:rtl/>
          <w:lang w:bidi="fa-IR"/>
        </w:rPr>
        <w:t>قول دوم این است که در قبال مرتد فطری توبه قبول می‌شود اما به نسبت آثار اخروی آن. همان‌طور که لازمه قول خداوند همین امر است؛</w:t>
      </w:r>
    </w:p>
    <w:p w:rsidR="00254954" w:rsidRPr="0064055E" w:rsidRDefault="00254954" w:rsidP="00254954">
      <w:pPr>
        <w:bidi/>
        <w:jc w:val="both"/>
        <w:rPr>
          <w:rFonts w:ascii="IRBadr" w:hAnsi="IRBadr" w:cs="IRBadr"/>
          <w:b/>
          <w:bCs/>
          <w:sz w:val="28"/>
          <w:szCs w:val="28"/>
          <w:rtl/>
          <w:lang w:bidi="fa-IR"/>
        </w:rPr>
      </w:pPr>
      <w:r w:rsidRPr="0064055E">
        <w:rPr>
          <w:rFonts w:ascii="IRBadr" w:hAnsi="IRBadr" w:cs="IRBadr"/>
          <w:b/>
          <w:bCs/>
          <w:sz w:val="28"/>
          <w:szCs w:val="28"/>
          <w:rtl/>
          <w:lang w:bidi="fa-IR"/>
        </w:rPr>
        <w:t>«وَ مَنْ یرْتَدِدْ مِنْکمْ عَنْ دِینِهِ فَیمُتْ وَ هُوَ کافِرٌ فَأُولئِک حَبِطَتْ أَعْمالُهُمْ فِی الدُّنْیا وَ الْآخِرَةِ وَ أُولئِک أَصْحابُ النَّارِ هُمْ فی‌ها خالِدُونَ»</w:t>
      </w:r>
      <w:r w:rsidRPr="0064055E">
        <w:rPr>
          <w:rFonts w:ascii="IRBadr" w:hAnsi="IRBadr" w:cs="IRBadr"/>
          <w:b/>
          <w:bCs/>
          <w:sz w:val="28"/>
          <w:szCs w:val="28"/>
          <w:vertAlign w:val="superscript"/>
          <w:rtl/>
          <w:lang w:bidi="fa-IR"/>
        </w:rPr>
        <w:footnoteReference w:id="2"/>
      </w:r>
    </w:p>
    <w:p w:rsidR="00254954" w:rsidRPr="0064055E" w:rsidRDefault="00254954" w:rsidP="00254954">
      <w:pPr>
        <w:bidi/>
        <w:jc w:val="both"/>
        <w:rPr>
          <w:rFonts w:ascii="IRBadr" w:hAnsi="IRBadr" w:cs="IRBadr"/>
          <w:sz w:val="28"/>
          <w:szCs w:val="28"/>
          <w:rtl/>
          <w:lang w:bidi="fa-IR"/>
        </w:rPr>
      </w:pPr>
      <w:r w:rsidRPr="0064055E">
        <w:rPr>
          <w:rFonts w:ascii="IRBadr" w:hAnsi="IRBadr" w:cs="IRBadr"/>
          <w:sz w:val="28"/>
          <w:szCs w:val="28"/>
          <w:rtl/>
          <w:lang w:bidi="fa-IR"/>
        </w:rPr>
        <w:t>این نظریه دوم است که برخی بدان قائل شدند و مانند صاحب جواهر آن را تقویت نمودند.</w:t>
      </w:r>
    </w:p>
    <w:p w:rsidR="00254954" w:rsidRPr="0064055E" w:rsidRDefault="00254954" w:rsidP="00254954">
      <w:pPr>
        <w:pStyle w:val="Heading1"/>
        <w:rPr>
          <w:rFonts w:ascii="IRBadr" w:hAnsi="IRBadr" w:cs="IRBadr"/>
          <w:rtl/>
        </w:rPr>
      </w:pPr>
      <w:bookmarkStart w:id="4" w:name="_Toc427990781"/>
      <w:r w:rsidRPr="0064055E">
        <w:rPr>
          <w:rFonts w:ascii="IRBadr" w:hAnsi="IRBadr" w:cs="IRBadr"/>
          <w:rtl/>
        </w:rPr>
        <w:lastRenderedPageBreak/>
        <w:t>قول سوم</w:t>
      </w:r>
      <w:bookmarkEnd w:id="4"/>
    </w:p>
    <w:p w:rsidR="00254954" w:rsidRPr="0064055E" w:rsidRDefault="00254954" w:rsidP="00254954">
      <w:pPr>
        <w:bidi/>
        <w:jc w:val="both"/>
        <w:rPr>
          <w:rFonts w:ascii="IRBadr" w:hAnsi="IRBadr" w:cs="IRBadr"/>
          <w:sz w:val="28"/>
          <w:szCs w:val="28"/>
          <w:rtl/>
          <w:lang w:bidi="fa-IR"/>
        </w:rPr>
      </w:pPr>
      <w:r w:rsidRPr="0064055E">
        <w:rPr>
          <w:rFonts w:ascii="IRBadr" w:hAnsi="IRBadr" w:cs="IRBadr"/>
          <w:sz w:val="28"/>
          <w:szCs w:val="28"/>
          <w:rtl/>
          <w:lang w:bidi="fa-IR"/>
        </w:rPr>
        <w:t>قول سومی در این زمینه وجود دارد که ازلحاظ اخروی توبه او مقبول است و در قبال آثار دنیوی تنها آثار مربوط به باب ارتداد که تقسیم اموال و غیره بود از او سلب نمی‌شود، والا آثار دیگر ابواب فقهی با توبه برای او بازخواهد گشت. برای مثال این فرد حتی می‌تواند دوباره ازدواج کند.</w:t>
      </w:r>
    </w:p>
    <w:p w:rsidR="00254954" w:rsidRPr="0064055E" w:rsidRDefault="00254954" w:rsidP="00254954">
      <w:pPr>
        <w:bidi/>
        <w:jc w:val="both"/>
        <w:rPr>
          <w:rFonts w:ascii="IRBadr" w:hAnsi="IRBadr" w:cs="IRBadr"/>
          <w:sz w:val="28"/>
          <w:szCs w:val="28"/>
          <w:rtl/>
          <w:lang w:bidi="fa-IR"/>
        </w:rPr>
      </w:pPr>
      <w:r w:rsidRPr="0064055E">
        <w:rPr>
          <w:rFonts w:ascii="IRBadr" w:hAnsi="IRBadr" w:cs="IRBadr"/>
          <w:sz w:val="28"/>
          <w:szCs w:val="28"/>
          <w:rtl/>
          <w:lang w:bidi="fa-IR"/>
        </w:rPr>
        <w:t>آقای تبریزی و فاضل نیز همین قول را پذیرفتند.</w:t>
      </w:r>
    </w:p>
    <w:p w:rsidR="00254954" w:rsidRPr="0064055E" w:rsidRDefault="00254954" w:rsidP="00254954">
      <w:pPr>
        <w:pStyle w:val="Heading1"/>
        <w:rPr>
          <w:rFonts w:ascii="IRBadr" w:hAnsi="IRBadr" w:cs="IRBadr"/>
          <w:rtl/>
        </w:rPr>
      </w:pPr>
      <w:bookmarkStart w:id="5" w:name="_Toc427990782"/>
      <w:r w:rsidRPr="0064055E">
        <w:rPr>
          <w:rFonts w:ascii="IRBadr" w:hAnsi="IRBadr" w:cs="IRBadr"/>
          <w:rtl/>
        </w:rPr>
        <w:t>احتمال چهارم</w:t>
      </w:r>
      <w:bookmarkEnd w:id="5"/>
    </w:p>
    <w:p w:rsidR="00254954" w:rsidRPr="0064055E" w:rsidRDefault="00254954" w:rsidP="00254954">
      <w:pPr>
        <w:bidi/>
        <w:jc w:val="both"/>
        <w:rPr>
          <w:rFonts w:ascii="IRBadr" w:hAnsi="IRBadr" w:cs="IRBadr"/>
          <w:sz w:val="28"/>
          <w:szCs w:val="28"/>
          <w:rtl/>
          <w:lang w:bidi="fa-IR"/>
        </w:rPr>
      </w:pPr>
      <w:r w:rsidRPr="0064055E">
        <w:rPr>
          <w:rFonts w:ascii="IRBadr" w:hAnsi="IRBadr" w:cs="IRBadr"/>
          <w:sz w:val="28"/>
          <w:szCs w:val="28"/>
          <w:rtl/>
          <w:lang w:bidi="fa-IR"/>
        </w:rPr>
        <w:t>احتمال چهارمی نیز دراین‌بین است که برای آن قائلی سراغ نداریم ولی احتمالش در کلمات فقها مطرح‌شده است که توبه او از جهت اخروی مقبول است و در آثار دنیوی در قبال آثار مربوط به خود او موردقبول است یعنی او می‌تواند صاحب‌مال شود و احکام مسلم بر او جاری گردد. البته قول دیگری نیز در این میان بود که توبه از هیچ نظر مقبول نیست.</w:t>
      </w:r>
    </w:p>
    <w:p w:rsidR="00254954" w:rsidRPr="0064055E" w:rsidRDefault="00254954" w:rsidP="00254954">
      <w:pPr>
        <w:pStyle w:val="Heading2"/>
        <w:rPr>
          <w:rFonts w:ascii="IRBadr" w:hAnsi="IRBadr" w:cs="IRBadr"/>
          <w:rtl/>
        </w:rPr>
      </w:pPr>
      <w:bookmarkStart w:id="6" w:name="_Toc427990783"/>
      <w:r w:rsidRPr="0064055E">
        <w:rPr>
          <w:rFonts w:ascii="IRBadr" w:hAnsi="IRBadr" w:cs="IRBadr"/>
          <w:rtl/>
        </w:rPr>
        <w:t>قول به عقاب اخروی</w:t>
      </w:r>
      <w:bookmarkEnd w:id="6"/>
    </w:p>
    <w:p w:rsidR="00254954" w:rsidRPr="0064055E" w:rsidRDefault="00254954" w:rsidP="00254954">
      <w:pPr>
        <w:bidi/>
        <w:jc w:val="both"/>
        <w:rPr>
          <w:rFonts w:ascii="IRBadr" w:hAnsi="IRBadr" w:cs="IRBadr"/>
          <w:sz w:val="28"/>
          <w:szCs w:val="28"/>
          <w:rtl/>
          <w:lang w:bidi="fa-IR"/>
        </w:rPr>
      </w:pPr>
      <w:r w:rsidRPr="0064055E">
        <w:rPr>
          <w:rFonts w:ascii="IRBadr" w:hAnsi="IRBadr" w:cs="IRBadr"/>
          <w:sz w:val="28"/>
          <w:szCs w:val="28"/>
          <w:rtl/>
          <w:lang w:bidi="fa-IR"/>
        </w:rPr>
        <w:t xml:space="preserve">قول به عقاب اخروی فرد در صورت توبه، قولی است که از چند جهت دارای اشکال است، اولاً مخالف با بداهت عقل و ارتکازات عرفی و شرعی است و ادله قبول توبه از قبول تخصیص </w:t>
      </w:r>
      <w:r w:rsidR="00AD5F48">
        <w:rPr>
          <w:rFonts w:ascii="IRBadr" w:hAnsi="IRBadr" w:cs="IRBadr"/>
          <w:sz w:val="28"/>
          <w:szCs w:val="28"/>
          <w:rtl/>
          <w:lang w:bidi="fa-IR"/>
        </w:rPr>
        <w:t>ابا</w:t>
      </w:r>
      <w:r w:rsidRPr="0064055E">
        <w:rPr>
          <w:rFonts w:ascii="IRBadr" w:hAnsi="IRBadr" w:cs="IRBadr"/>
          <w:sz w:val="28"/>
          <w:szCs w:val="28"/>
          <w:rtl/>
          <w:lang w:bidi="fa-IR"/>
        </w:rPr>
        <w:t xml:space="preserve"> دارد. و عبارتی که در روایات مبنی بر عدم توبه برای اوست نباید مطلق معنا شود که اشکال مذکور به ذهن بیاید چراکه آن عبارت وقتی در کنار بینونت همسر و غیره دیده می‌شود، به سمت آثاری از این قبیل انصراف پیدا می‌کند.</w:t>
      </w:r>
    </w:p>
    <w:p w:rsidR="00254954" w:rsidRPr="0064055E" w:rsidRDefault="00254954" w:rsidP="00254954">
      <w:pPr>
        <w:bidi/>
        <w:jc w:val="both"/>
        <w:rPr>
          <w:rFonts w:ascii="IRBadr" w:hAnsi="IRBadr" w:cs="IRBadr"/>
          <w:sz w:val="28"/>
          <w:szCs w:val="28"/>
          <w:rtl/>
          <w:lang w:bidi="fa-IR"/>
        </w:rPr>
      </w:pPr>
      <w:r w:rsidRPr="0064055E">
        <w:rPr>
          <w:rFonts w:ascii="IRBadr" w:hAnsi="IRBadr" w:cs="IRBadr"/>
          <w:sz w:val="28"/>
          <w:szCs w:val="28"/>
          <w:rtl/>
          <w:lang w:bidi="fa-IR"/>
        </w:rPr>
        <w:t>علاوه بر اینکه قائل شدن بدین قول تالی فاسدهای متعددی را به دنبال خود خواهد آورد و اموری که به‌هیچ‌وجه نمی‌شود موردقبول واقع شود.</w:t>
      </w:r>
    </w:p>
    <w:p w:rsidR="00254954" w:rsidRPr="0064055E" w:rsidRDefault="00254954" w:rsidP="00254954">
      <w:pPr>
        <w:pStyle w:val="Heading3"/>
        <w:rPr>
          <w:rFonts w:ascii="IRBadr" w:hAnsi="IRBadr" w:cs="IRBadr"/>
          <w:rtl/>
        </w:rPr>
      </w:pPr>
      <w:bookmarkStart w:id="7" w:name="_Toc427990784"/>
      <w:r w:rsidRPr="0064055E">
        <w:rPr>
          <w:rFonts w:ascii="IRBadr" w:hAnsi="IRBadr" w:cs="IRBadr"/>
          <w:rtl/>
        </w:rPr>
        <w:t>استناد به آیات غفران</w:t>
      </w:r>
      <w:bookmarkEnd w:id="7"/>
    </w:p>
    <w:p w:rsidR="00254954" w:rsidRPr="0064055E" w:rsidRDefault="00254954" w:rsidP="00254954">
      <w:pPr>
        <w:bidi/>
        <w:jc w:val="both"/>
        <w:rPr>
          <w:rFonts w:ascii="IRBadr" w:hAnsi="IRBadr" w:cs="IRBadr"/>
          <w:sz w:val="28"/>
          <w:szCs w:val="28"/>
          <w:rtl/>
          <w:lang w:bidi="fa-IR"/>
        </w:rPr>
      </w:pPr>
      <w:r w:rsidRPr="0064055E">
        <w:rPr>
          <w:rFonts w:ascii="IRBadr" w:hAnsi="IRBadr" w:cs="IRBadr"/>
          <w:sz w:val="28"/>
          <w:szCs w:val="28"/>
          <w:rtl/>
          <w:lang w:bidi="fa-IR"/>
        </w:rPr>
        <w:t>فراتر از همه این‌ها تواتر آیات کریمه در غفران خداوند وجود دارد همانند؛</w:t>
      </w:r>
    </w:p>
    <w:p w:rsidR="00254954" w:rsidRPr="0064055E" w:rsidRDefault="00254954" w:rsidP="00254954">
      <w:pPr>
        <w:bidi/>
        <w:jc w:val="both"/>
        <w:rPr>
          <w:rFonts w:ascii="IRBadr" w:hAnsi="IRBadr" w:cs="IRBadr"/>
          <w:b/>
          <w:bCs/>
          <w:sz w:val="28"/>
          <w:szCs w:val="28"/>
          <w:lang w:bidi="fa-IR"/>
        </w:rPr>
      </w:pPr>
      <w:r w:rsidRPr="0064055E">
        <w:rPr>
          <w:rFonts w:ascii="IRBadr" w:hAnsi="IRBadr" w:cs="IRBadr"/>
          <w:b/>
          <w:bCs/>
          <w:sz w:val="28"/>
          <w:szCs w:val="28"/>
          <w:rtl/>
          <w:lang w:bidi="fa-IR"/>
        </w:rPr>
        <w:lastRenderedPageBreak/>
        <w:t>«إِنَّ اللَّهَ یغْفِرُ الذُّنُوبَ جَمِیعاً إِنَّهُ هُوَ الْغَفُورُ الرَّحِیم»</w:t>
      </w:r>
      <w:r w:rsidRPr="0064055E">
        <w:rPr>
          <w:rFonts w:ascii="IRBadr" w:hAnsi="IRBadr" w:cs="IRBadr"/>
          <w:b/>
          <w:bCs/>
          <w:sz w:val="28"/>
          <w:szCs w:val="28"/>
          <w:vertAlign w:val="superscript"/>
          <w:rtl/>
          <w:lang w:bidi="fa-IR"/>
        </w:rPr>
        <w:footnoteReference w:id="3"/>
      </w:r>
    </w:p>
    <w:p w:rsidR="00254954" w:rsidRPr="0064055E" w:rsidRDefault="00254954" w:rsidP="00254954">
      <w:pPr>
        <w:pStyle w:val="Heading3"/>
        <w:rPr>
          <w:rFonts w:ascii="IRBadr" w:hAnsi="IRBadr" w:cs="IRBadr"/>
          <w:rtl/>
        </w:rPr>
      </w:pPr>
      <w:bookmarkStart w:id="8" w:name="_Toc427990785"/>
      <w:r w:rsidRPr="0064055E">
        <w:rPr>
          <w:rFonts w:ascii="IRBadr" w:hAnsi="IRBadr" w:cs="IRBadr"/>
          <w:rtl/>
        </w:rPr>
        <w:t>نتیجه‌گیری</w:t>
      </w:r>
      <w:bookmarkEnd w:id="8"/>
    </w:p>
    <w:p w:rsidR="00254954" w:rsidRPr="0064055E" w:rsidRDefault="00254954" w:rsidP="00254954">
      <w:pPr>
        <w:bidi/>
        <w:jc w:val="both"/>
        <w:rPr>
          <w:rFonts w:ascii="IRBadr" w:hAnsi="IRBadr" w:cs="IRBadr"/>
          <w:sz w:val="28"/>
          <w:szCs w:val="28"/>
          <w:rtl/>
          <w:lang w:bidi="fa-IR"/>
        </w:rPr>
      </w:pPr>
      <w:r w:rsidRPr="0064055E">
        <w:rPr>
          <w:rFonts w:ascii="IRBadr" w:hAnsi="IRBadr" w:cs="IRBadr"/>
          <w:sz w:val="28"/>
          <w:szCs w:val="28"/>
          <w:rtl/>
          <w:lang w:bidi="fa-IR"/>
        </w:rPr>
        <w:t>با همه قرائن بیان‌شده و قرائنی که در این زمینه وجود دارد می‌توان گفت قول به عدم پذیرش توبه به نحو مطلق قول صحیحی نیست.</w:t>
      </w:r>
    </w:p>
    <w:p w:rsidR="00152670" w:rsidRPr="0064055E" w:rsidRDefault="00152670" w:rsidP="00734D59">
      <w:pPr>
        <w:bidi/>
        <w:rPr>
          <w:rFonts w:ascii="IRBadr" w:hAnsi="IRBadr" w:cs="IRBadr"/>
          <w:rtl/>
          <w:lang w:bidi="fa-IR"/>
        </w:rPr>
      </w:pPr>
    </w:p>
    <w:sectPr w:rsidR="00152670" w:rsidRPr="0064055E"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A7" w:rsidRDefault="00C139A7" w:rsidP="000D5800">
      <w:pPr>
        <w:spacing w:after="0" w:line="240" w:lineRule="auto"/>
      </w:pPr>
      <w:r>
        <w:separator/>
      </w:r>
    </w:p>
  </w:endnote>
  <w:endnote w:type="continuationSeparator" w:id="0">
    <w:p w:rsidR="00C139A7" w:rsidRDefault="00C139A7"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A7" w:rsidRDefault="00C139A7" w:rsidP="0064055E">
      <w:pPr>
        <w:bidi/>
        <w:spacing w:after="0" w:line="240" w:lineRule="auto"/>
      </w:pPr>
      <w:r>
        <w:separator/>
      </w:r>
    </w:p>
  </w:footnote>
  <w:footnote w:type="continuationSeparator" w:id="0">
    <w:p w:rsidR="00C139A7" w:rsidRDefault="00C139A7" w:rsidP="000D5800">
      <w:pPr>
        <w:spacing w:after="0" w:line="240" w:lineRule="auto"/>
      </w:pPr>
      <w:r>
        <w:continuationSeparator/>
      </w:r>
    </w:p>
  </w:footnote>
  <w:footnote w:id="1">
    <w:p w:rsidR="00254954" w:rsidRDefault="00254954" w:rsidP="00254954">
      <w:pPr>
        <w:pStyle w:val="FootnoteText"/>
        <w:rPr>
          <w:rtl/>
        </w:rPr>
      </w:pPr>
      <w:r>
        <w:rPr>
          <w:rStyle w:val="FootnoteReference"/>
        </w:rPr>
        <w:footnoteRef/>
      </w:r>
      <w:r>
        <w:t xml:space="preserve"> </w:t>
      </w:r>
      <w:r w:rsidRPr="00871A19">
        <w:rPr>
          <w:rFonts w:ascii="Noor_Titr" w:hAnsi="Noor_Titr" w:cs="B Badr" w:hint="cs"/>
          <w:color w:val="000000" w:themeColor="text1"/>
          <w:rtl/>
        </w:rPr>
        <w:t>ال</w:t>
      </w:r>
      <w:r>
        <w:rPr>
          <w:rFonts w:ascii="Noor_Titr" w:hAnsi="Noor_Titr" w:cs="B Badr" w:hint="cs"/>
          <w:color w:val="000000" w:themeColor="text1"/>
          <w:rtl/>
        </w:rPr>
        <w:t>ک</w:t>
      </w:r>
      <w:r w:rsidRPr="00871A19">
        <w:rPr>
          <w:rFonts w:ascii="Noor_Titr" w:hAnsi="Noor_Titr" w:cs="B Badr" w:hint="cs"/>
          <w:color w:val="000000" w:themeColor="text1"/>
          <w:rtl/>
        </w:rPr>
        <w:t>اف</w:t>
      </w:r>
      <w:r>
        <w:rPr>
          <w:rFonts w:ascii="Noor_Titr" w:hAnsi="Noor_Titr" w:cs="B Badr" w:hint="cs"/>
          <w:color w:val="000000" w:themeColor="text1"/>
          <w:rtl/>
        </w:rPr>
        <w:t>ی</w:t>
      </w:r>
      <w:r w:rsidRPr="00871A19">
        <w:rPr>
          <w:rFonts w:ascii="Noor_Titr" w:hAnsi="Noor_Titr" w:cs="B Badr" w:hint="cs"/>
          <w:color w:val="000000" w:themeColor="text1"/>
          <w:rtl/>
        </w:rPr>
        <w:t xml:space="preserve"> (ط - الإسلام</w:t>
      </w:r>
      <w:r>
        <w:rPr>
          <w:rFonts w:ascii="Noor_Titr" w:hAnsi="Noor_Titr" w:cs="B Badr" w:hint="cs"/>
          <w:color w:val="000000" w:themeColor="text1"/>
          <w:rtl/>
        </w:rPr>
        <w:t>ی</w:t>
      </w:r>
      <w:r w:rsidRPr="00871A19">
        <w:rPr>
          <w:rFonts w:ascii="Noor_Titr" w:hAnsi="Noor_Titr" w:cs="B Badr" w:hint="cs"/>
          <w:color w:val="000000" w:themeColor="text1"/>
          <w:rtl/>
        </w:rPr>
        <w:t xml:space="preserve">ة)؛ </w:t>
      </w:r>
      <w:r>
        <w:rPr>
          <w:rFonts w:ascii="Noor_Titr" w:hAnsi="Noor_Titr" w:cs="B Badr"/>
          <w:color w:val="000000" w:themeColor="text1"/>
          <w:rtl/>
        </w:rPr>
        <w:t>ج 6</w:t>
      </w:r>
      <w:r w:rsidRPr="00871A19">
        <w:rPr>
          <w:rFonts w:ascii="Noor_Titr" w:hAnsi="Noor_Titr" w:cs="B Badr" w:hint="cs"/>
          <w:color w:val="000000" w:themeColor="text1"/>
          <w:rtl/>
        </w:rPr>
        <w:t>، ص: 174</w:t>
      </w:r>
    </w:p>
  </w:footnote>
  <w:footnote w:id="2">
    <w:p w:rsidR="00254954" w:rsidRPr="009F5F19" w:rsidRDefault="00254954" w:rsidP="00254954">
      <w:pPr>
        <w:pStyle w:val="FootnoteText"/>
        <w:rPr>
          <w:rFonts w:cs="B Badr"/>
          <w:rtl/>
        </w:rPr>
      </w:pPr>
      <w:r w:rsidRPr="009F5F19">
        <w:rPr>
          <w:rStyle w:val="FootnoteReference"/>
          <w:rFonts w:cs="B Badr"/>
        </w:rPr>
        <w:footnoteRef/>
      </w:r>
      <w:r w:rsidRPr="009F5F19">
        <w:rPr>
          <w:rFonts w:cs="B Badr"/>
        </w:rPr>
        <w:t xml:space="preserve"> </w:t>
      </w:r>
      <w:r w:rsidRPr="009F5F19">
        <w:rPr>
          <w:rFonts w:cs="B Badr" w:hint="cs"/>
          <w:rtl/>
        </w:rPr>
        <w:t>217/بقره</w:t>
      </w:r>
    </w:p>
  </w:footnote>
  <w:footnote w:id="3">
    <w:p w:rsidR="00254954" w:rsidRPr="009F5F19" w:rsidRDefault="00254954" w:rsidP="00254954">
      <w:pPr>
        <w:pStyle w:val="FootnoteText"/>
        <w:rPr>
          <w:rFonts w:cs="B Badr"/>
          <w:rtl/>
        </w:rPr>
      </w:pPr>
      <w:r w:rsidRPr="009F5F19">
        <w:rPr>
          <w:rStyle w:val="FootnoteReference"/>
          <w:rFonts w:cs="B Badr"/>
        </w:rPr>
        <w:footnoteRef/>
      </w:r>
      <w:r w:rsidRPr="009F5F19">
        <w:rPr>
          <w:rFonts w:cs="B Badr"/>
        </w:rPr>
        <w:t xml:space="preserve"> </w:t>
      </w:r>
      <w:r w:rsidRPr="009F5F19">
        <w:rPr>
          <w:rFonts w:cs="B Badr" w:hint="cs"/>
          <w:rtl/>
        </w:rPr>
        <w:t>زمر/53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254954">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1DD78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9" w:name="OLE_LINK1"/>
    <w:bookmarkStart w:id="10" w:name="OLE_LINK2"/>
    <w:r>
      <w:rPr>
        <w:noProof/>
        <w:lang w:bidi="fa-IR"/>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9"/>
    <w:bookmarkEnd w:id="10"/>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254954">
      <w:rPr>
        <w:rFonts w:ascii="IranNastaliq" w:hAnsi="IranNastaliq" w:cs="IranNastaliq" w:hint="cs"/>
        <w:sz w:val="40"/>
        <w:szCs w:val="40"/>
        <w:rtl/>
        <w:lang w:bidi="fa-IR"/>
      </w:rPr>
      <w:t>932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7955"/>
    <w:rsid w:val="00133E1D"/>
    <w:rsid w:val="0013469D"/>
    <w:rsid w:val="0013617D"/>
    <w:rsid w:val="00136442"/>
    <w:rsid w:val="00150D4B"/>
    <w:rsid w:val="00152670"/>
    <w:rsid w:val="00166DD8"/>
    <w:rsid w:val="001712D6"/>
    <w:rsid w:val="001757C8"/>
    <w:rsid w:val="00177934"/>
    <w:rsid w:val="00192A6A"/>
    <w:rsid w:val="00197CDD"/>
    <w:rsid w:val="001A7D89"/>
    <w:rsid w:val="001C367D"/>
    <w:rsid w:val="001D24F8"/>
    <w:rsid w:val="001D542D"/>
    <w:rsid w:val="001E306E"/>
    <w:rsid w:val="001E3FB0"/>
    <w:rsid w:val="001E4FFF"/>
    <w:rsid w:val="001F2E3E"/>
    <w:rsid w:val="00224C0A"/>
    <w:rsid w:val="002376A5"/>
    <w:rsid w:val="002417C9"/>
    <w:rsid w:val="002529C5"/>
    <w:rsid w:val="00254954"/>
    <w:rsid w:val="00266420"/>
    <w:rsid w:val="00270294"/>
    <w:rsid w:val="002914BD"/>
    <w:rsid w:val="00292E98"/>
    <w:rsid w:val="00297263"/>
    <w:rsid w:val="002C56FD"/>
    <w:rsid w:val="002D49E4"/>
    <w:rsid w:val="002E450B"/>
    <w:rsid w:val="002E73F9"/>
    <w:rsid w:val="002F05B9"/>
    <w:rsid w:val="00340BA3"/>
    <w:rsid w:val="00366400"/>
    <w:rsid w:val="003963D7"/>
    <w:rsid w:val="00396F28"/>
    <w:rsid w:val="003A1A05"/>
    <w:rsid w:val="003A2654"/>
    <w:rsid w:val="003B4C26"/>
    <w:rsid w:val="003C06BF"/>
    <w:rsid w:val="003C7899"/>
    <w:rsid w:val="003D2F0A"/>
    <w:rsid w:val="003D563F"/>
    <w:rsid w:val="003E1E58"/>
    <w:rsid w:val="003F1AED"/>
    <w:rsid w:val="00405199"/>
    <w:rsid w:val="00410699"/>
    <w:rsid w:val="00415360"/>
    <w:rsid w:val="0044591E"/>
    <w:rsid w:val="004651D2"/>
    <w:rsid w:val="00465D26"/>
    <w:rsid w:val="004679F8"/>
    <w:rsid w:val="00494DC0"/>
    <w:rsid w:val="00496073"/>
    <w:rsid w:val="004B337F"/>
    <w:rsid w:val="004F3596"/>
    <w:rsid w:val="004F56BA"/>
    <w:rsid w:val="00572E2D"/>
    <w:rsid w:val="00576987"/>
    <w:rsid w:val="00592103"/>
    <w:rsid w:val="005941DD"/>
    <w:rsid w:val="005A2931"/>
    <w:rsid w:val="005A545E"/>
    <w:rsid w:val="005A5862"/>
    <w:rsid w:val="005B0852"/>
    <w:rsid w:val="005C06AE"/>
    <w:rsid w:val="005C0D0A"/>
    <w:rsid w:val="00610C18"/>
    <w:rsid w:val="00612385"/>
    <w:rsid w:val="0061376C"/>
    <w:rsid w:val="00636EFA"/>
    <w:rsid w:val="0064055E"/>
    <w:rsid w:val="0066229C"/>
    <w:rsid w:val="00675B32"/>
    <w:rsid w:val="0069696C"/>
    <w:rsid w:val="006A085A"/>
    <w:rsid w:val="006A418C"/>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4F15"/>
    <w:rsid w:val="008407A4"/>
    <w:rsid w:val="00844860"/>
    <w:rsid w:val="00845CC4"/>
    <w:rsid w:val="00857C21"/>
    <w:rsid w:val="008644F4"/>
    <w:rsid w:val="0087093D"/>
    <w:rsid w:val="00883733"/>
    <w:rsid w:val="008965D2"/>
    <w:rsid w:val="008A236D"/>
    <w:rsid w:val="008B565A"/>
    <w:rsid w:val="008C3414"/>
    <w:rsid w:val="008D36D5"/>
    <w:rsid w:val="008E3903"/>
    <w:rsid w:val="008F197C"/>
    <w:rsid w:val="008F63E3"/>
    <w:rsid w:val="00913C3B"/>
    <w:rsid w:val="00915509"/>
    <w:rsid w:val="00927388"/>
    <w:rsid w:val="009274FE"/>
    <w:rsid w:val="009401AC"/>
    <w:rsid w:val="009613AC"/>
    <w:rsid w:val="00980643"/>
    <w:rsid w:val="009B46BC"/>
    <w:rsid w:val="009B61C3"/>
    <w:rsid w:val="009C7B4F"/>
    <w:rsid w:val="009F4EB3"/>
    <w:rsid w:val="009F7E77"/>
    <w:rsid w:val="00A06D48"/>
    <w:rsid w:val="00A21834"/>
    <w:rsid w:val="00A31C17"/>
    <w:rsid w:val="00A31FDE"/>
    <w:rsid w:val="00A35AC2"/>
    <w:rsid w:val="00A37C77"/>
    <w:rsid w:val="00A45946"/>
    <w:rsid w:val="00A5418D"/>
    <w:rsid w:val="00A725C2"/>
    <w:rsid w:val="00A769EE"/>
    <w:rsid w:val="00A810A5"/>
    <w:rsid w:val="00A9616A"/>
    <w:rsid w:val="00A96F68"/>
    <w:rsid w:val="00AA2342"/>
    <w:rsid w:val="00AD0304"/>
    <w:rsid w:val="00AD278F"/>
    <w:rsid w:val="00AD27BE"/>
    <w:rsid w:val="00AD5F48"/>
    <w:rsid w:val="00AF0F1A"/>
    <w:rsid w:val="00AF6CE9"/>
    <w:rsid w:val="00B14066"/>
    <w:rsid w:val="00B15027"/>
    <w:rsid w:val="00B21CF4"/>
    <w:rsid w:val="00B24300"/>
    <w:rsid w:val="00B4366F"/>
    <w:rsid w:val="00B63F15"/>
    <w:rsid w:val="00BB5F7E"/>
    <w:rsid w:val="00BC26F6"/>
    <w:rsid w:val="00BC4833"/>
    <w:rsid w:val="00BD3122"/>
    <w:rsid w:val="00BD40DA"/>
    <w:rsid w:val="00BF3D67"/>
    <w:rsid w:val="00C139A7"/>
    <w:rsid w:val="00C160AF"/>
    <w:rsid w:val="00C22299"/>
    <w:rsid w:val="00C25609"/>
    <w:rsid w:val="00C262D7"/>
    <w:rsid w:val="00C26607"/>
    <w:rsid w:val="00C60D75"/>
    <w:rsid w:val="00C64CEA"/>
    <w:rsid w:val="00C73012"/>
    <w:rsid w:val="00C763DD"/>
    <w:rsid w:val="00C84FC0"/>
    <w:rsid w:val="00C9244A"/>
    <w:rsid w:val="00C970E1"/>
    <w:rsid w:val="00CB5DA3"/>
    <w:rsid w:val="00CE31E6"/>
    <w:rsid w:val="00CE3B74"/>
    <w:rsid w:val="00CF42E2"/>
    <w:rsid w:val="00CF7916"/>
    <w:rsid w:val="00D158F3"/>
    <w:rsid w:val="00D3665C"/>
    <w:rsid w:val="00D508CC"/>
    <w:rsid w:val="00D50F4B"/>
    <w:rsid w:val="00D60547"/>
    <w:rsid w:val="00D66444"/>
    <w:rsid w:val="00D76353"/>
    <w:rsid w:val="00D96DC0"/>
    <w:rsid w:val="00DB28BB"/>
    <w:rsid w:val="00DC603F"/>
    <w:rsid w:val="00DD3C0D"/>
    <w:rsid w:val="00DD4864"/>
    <w:rsid w:val="00DD71A2"/>
    <w:rsid w:val="00DE0AAF"/>
    <w:rsid w:val="00DE1DC4"/>
    <w:rsid w:val="00DE3B98"/>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EF2B03"/>
    <w:rsid w:val="00F034CE"/>
    <w:rsid w:val="00F10A0F"/>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6405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6405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B21B-386E-4FA3-B287-AF51ABD6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87</TotalTime>
  <Pages>4</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30</cp:revision>
  <dcterms:created xsi:type="dcterms:W3CDTF">2014-12-20T10:23:00Z</dcterms:created>
  <dcterms:modified xsi:type="dcterms:W3CDTF">2015-08-22T04:00:00Z</dcterms:modified>
</cp:coreProperties>
</file>