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بسم‌الله الرحمن الرحیم</w:t>
      </w:r>
    </w:p>
    <w:p w:rsidR="00AD7C53" w:rsidRPr="002065B0" w:rsidRDefault="00AD7C53" w:rsidP="00AD7C53">
      <w:pPr>
        <w:bidi/>
        <w:jc w:val="both"/>
        <w:rPr>
          <w:rFonts w:ascii="IRBadr" w:hAnsi="IRBadr" w:cs="IRBadr"/>
          <w:sz w:val="28"/>
          <w:szCs w:val="28"/>
          <w:rtl/>
          <w:lang w:bidi="fa-IR"/>
        </w:rPr>
      </w:pPr>
      <w:r w:rsidRPr="002065B0">
        <w:rPr>
          <w:rFonts w:ascii="IRBadr" w:hAnsi="IRBadr" w:cs="IRBadr"/>
          <w:sz w:val="28"/>
          <w:szCs w:val="28"/>
          <w:rtl/>
          <w:lang w:bidi="fa-IR"/>
        </w:rPr>
        <w:t>فهرست مطالب:</w:t>
      </w:r>
    </w:p>
    <w:p w:rsidR="00AD7C53" w:rsidRPr="002065B0" w:rsidRDefault="00AD7C53" w:rsidP="00AD7C53">
      <w:pPr>
        <w:pStyle w:val="TOC1"/>
        <w:tabs>
          <w:tab w:val="right" w:leader="dot" w:pos="9350"/>
        </w:tabs>
        <w:rPr>
          <w:rFonts w:ascii="IRBadr" w:hAnsi="IRBadr" w:cs="IRBadr"/>
          <w:noProof/>
          <w:szCs w:val="22"/>
        </w:rPr>
      </w:pPr>
      <w:r w:rsidRPr="002065B0">
        <w:rPr>
          <w:rFonts w:ascii="IRBadr" w:hAnsi="IRBadr" w:cs="IRBadr"/>
          <w:sz w:val="28"/>
          <w:rtl/>
        </w:rPr>
        <w:fldChar w:fldCharType="begin"/>
      </w:r>
      <w:r w:rsidRPr="002065B0">
        <w:rPr>
          <w:rFonts w:ascii="IRBadr" w:hAnsi="IRBadr" w:cs="IRBadr"/>
          <w:sz w:val="28"/>
          <w:rtl/>
        </w:rPr>
        <w:instrText xml:space="preserve"> </w:instrText>
      </w:r>
      <w:r w:rsidRPr="002065B0">
        <w:rPr>
          <w:rFonts w:ascii="IRBadr" w:hAnsi="IRBadr" w:cs="IRBadr"/>
          <w:sz w:val="28"/>
        </w:rPr>
        <w:instrText>TOC</w:instrText>
      </w:r>
      <w:r w:rsidRPr="002065B0">
        <w:rPr>
          <w:rFonts w:ascii="IRBadr" w:hAnsi="IRBadr" w:cs="IRBadr"/>
          <w:sz w:val="28"/>
          <w:rtl/>
        </w:rPr>
        <w:instrText xml:space="preserve"> \</w:instrText>
      </w:r>
      <w:r w:rsidRPr="002065B0">
        <w:rPr>
          <w:rFonts w:ascii="IRBadr" w:hAnsi="IRBadr" w:cs="IRBadr"/>
          <w:sz w:val="28"/>
        </w:rPr>
        <w:instrText>o "</w:instrText>
      </w:r>
      <w:r w:rsidRPr="002065B0">
        <w:rPr>
          <w:rFonts w:ascii="IRBadr" w:hAnsi="IRBadr" w:cs="IRBadr"/>
          <w:sz w:val="28"/>
          <w:rtl/>
        </w:rPr>
        <w:instrText>1-4</w:instrText>
      </w:r>
      <w:r w:rsidRPr="002065B0">
        <w:rPr>
          <w:rFonts w:ascii="IRBadr" w:hAnsi="IRBadr" w:cs="IRBadr"/>
          <w:sz w:val="28"/>
        </w:rPr>
        <w:instrText>" \h \z \u</w:instrText>
      </w:r>
      <w:r w:rsidRPr="002065B0">
        <w:rPr>
          <w:rFonts w:ascii="IRBadr" w:hAnsi="IRBadr" w:cs="IRBadr"/>
          <w:sz w:val="28"/>
          <w:rtl/>
        </w:rPr>
        <w:instrText xml:space="preserve"> </w:instrText>
      </w:r>
      <w:r w:rsidRPr="002065B0">
        <w:rPr>
          <w:rFonts w:ascii="IRBadr" w:hAnsi="IRBadr" w:cs="IRBadr"/>
          <w:sz w:val="28"/>
          <w:rtl/>
        </w:rPr>
        <w:fldChar w:fldCharType="separate"/>
      </w:r>
      <w:hyperlink w:anchor="_Toc427990872" w:history="1">
        <w:r w:rsidRPr="002065B0">
          <w:rPr>
            <w:rStyle w:val="Hyperlink"/>
            <w:rFonts w:ascii="IRBadr" w:hAnsi="IRBadr" w:cs="IRBadr"/>
            <w:noProof/>
            <w:rtl/>
          </w:rPr>
          <w:t>حد مرتد</w:t>
        </w:r>
        <w:r w:rsidRPr="002065B0">
          <w:rPr>
            <w:rFonts w:ascii="IRBadr" w:hAnsi="IRBadr" w:cs="IRBadr"/>
            <w:noProof/>
            <w:webHidden/>
          </w:rPr>
          <w:tab/>
        </w:r>
        <w:r w:rsidRPr="002065B0">
          <w:rPr>
            <w:rStyle w:val="Hyperlink"/>
            <w:rFonts w:ascii="IRBadr" w:hAnsi="IRBadr" w:cs="IRBadr"/>
            <w:noProof/>
            <w:rtl/>
          </w:rPr>
          <w:fldChar w:fldCharType="begin"/>
        </w:r>
        <w:r w:rsidRPr="002065B0">
          <w:rPr>
            <w:rFonts w:ascii="IRBadr" w:hAnsi="IRBadr" w:cs="IRBadr"/>
            <w:noProof/>
            <w:webHidden/>
          </w:rPr>
          <w:instrText xml:space="preserve"> PAGEREF _Toc427990872 \h </w:instrText>
        </w:r>
        <w:r w:rsidRPr="002065B0">
          <w:rPr>
            <w:rStyle w:val="Hyperlink"/>
            <w:rFonts w:ascii="IRBadr" w:hAnsi="IRBadr" w:cs="IRBadr"/>
            <w:noProof/>
            <w:rtl/>
          </w:rPr>
        </w:r>
        <w:r w:rsidRPr="002065B0">
          <w:rPr>
            <w:rStyle w:val="Hyperlink"/>
            <w:rFonts w:ascii="IRBadr" w:hAnsi="IRBadr" w:cs="IRBadr"/>
            <w:noProof/>
            <w:rtl/>
          </w:rPr>
          <w:fldChar w:fldCharType="separate"/>
        </w:r>
        <w:r w:rsidRPr="002065B0">
          <w:rPr>
            <w:rFonts w:ascii="IRBadr" w:hAnsi="IRBadr" w:cs="IRBadr"/>
            <w:noProof/>
            <w:webHidden/>
          </w:rPr>
          <w:t>1</w:t>
        </w:r>
        <w:r w:rsidRPr="002065B0">
          <w:rPr>
            <w:rStyle w:val="Hyperlink"/>
            <w:rFonts w:ascii="IRBadr" w:hAnsi="IRBadr" w:cs="IRBadr"/>
            <w:noProof/>
            <w:rtl/>
          </w:rPr>
          <w:fldChar w:fldCharType="end"/>
        </w:r>
      </w:hyperlink>
    </w:p>
    <w:p w:rsidR="00AD7C53" w:rsidRPr="002065B0" w:rsidRDefault="00CC0334" w:rsidP="00AD7C53">
      <w:pPr>
        <w:pStyle w:val="TOC1"/>
        <w:tabs>
          <w:tab w:val="right" w:leader="dot" w:pos="9350"/>
        </w:tabs>
        <w:rPr>
          <w:rFonts w:ascii="IRBadr" w:hAnsi="IRBadr" w:cs="IRBadr"/>
          <w:noProof/>
          <w:szCs w:val="22"/>
        </w:rPr>
      </w:pPr>
      <w:hyperlink w:anchor="_Toc427990873" w:history="1">
        <w:r w:rsidR="00AD7C53" w:rsidRPr="002065B0">
          <w:rPr>
            <w:rStyle w:val="Hyperlink"/>
            <w:rFonts w:ascii="IRBadr" w:hAnsi="IRBadr" w:cs="IRBadr"/>
            <w:noProof/>
            <w:rtl/>
          </w:rPr>
          <w:t>مرور بحث گذشته</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_Toc427990873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1</w:t>
        </w:r>
        <w:r w:rsidR="00AD7C53" w:rsidRPr="002065B0">
          <w:rPr>
            <w:rStyle w:val="Hyperlink"/>
            <w:rFonts w:ascii="IRBadr" w:hAnsi="IRBadr" w:cs="IRBadr"/>
            <w:noProof/>
            <w:rtl/>
          </w:rPr>
          <w:fldChar w:fldCharType="end"/>
        </w:r>
      </w:hyperlink>
    </w:p>
    <w:p w:rsidR="00AD7C53" w:rsidRPr="002065B0" w:rsidRDefault="00CC0334" w:rsidP="00AD7C53">
      <w:pPr>
        <w:pStyle w:val="TOC2"/>
        <w:tabs>
          <w:tab w:val="right" w:leader="dot" w:pos="9350"/>
        </w:tabs>
        <w:rPr>
          <w:rFonts w:ascii="IRBadr" w:hAnsi="IRBadr" w:cs="IRBadr"/>
          <w:noProof/>
          <w:szCs w:val="22"/>
        </w:rPr>
      </w:pPr>
      <w:hyperlink w:anchor="_Toc427990874" w:history="1">
        <w:r w:rsidR="00AD7C53" w:rsidRPr="002065B0">
          <w:rPr>
            <w:rStyle w:val="Hyperlink"/>
            <w:rFonts w:ascii="IRBadr" w:hAnsi="IRBadr" w:cs="IRBadr"/>
            <w:noProof/>
            <w:rtl/>
          </w:rPr>
          <w:t>مراد از عدم استتابه در روایات</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_Toc427990874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1</w:t>
        </w:r>
        <w:r w:rsidR="00AD7C53" w:rsidRPr="002065B0">
          <w:rPr>
            <w:rStyle w:val="Hyperlink"/>
            <w:rFonts w:ascii="IRBadr" w:hAnsi="IRBadr" w:cs="IRBadr"/>
            <w:noProof/>
            <w:rtl/>
          </w:rPr>
          <w:fldChar w:fldCharType="end"/>
        </w:r>
      </w:hyperlink>
    </w:p>
    <w:p w:rsidR="00AD7C53" w:rsidRPr="002065B0" w:rsidRDefault="00CC0334" w:rsidP="00AD7C53">
      <w:pPr>
        <w:pStyle w:val="TOC2"/>
        <w:tabs>
          <w:tab w:val="right" w:leader="dot" w:pos="9350"/>
        </w:tabs>
        <w:rPr>
          <w:rFonts w:ascii="IRBadr" w:hAnsi="IRBadr" w:cs="IRBadr"/>
          <w:noProof/>
          <w:szCs w:val="22"/>
        </w:rPr>
      </w:pPr>
      <w:hyperlink w:anchor="_Toc427990875" w:history="1">
        <w:r w:rsidR="00AD7C53" w:rsidRPr="002065B0">
          <w:rPr>
            <w:rStyle w:val="Hyperlink"/>
            <w:rFonts w:ascii="IRBadr" w:hAnsi="IRBadr" w:cs="IRBadr"/>
            <w:noProof/>
            <w:rtl/>
          </w:rPr>
          <w:t>مناقشه در استدلال فوق</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_Toc427990875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2</w:t>
        </w:r>
        <w:r w:rsidR="00AD7C53" w:rsidRPr="002065B0">
          <w:rPr>
            <w:rStyle w:val="Hyperlink"/>
            <w:rFonts w:ascii="IRBadr" w:hAnsi="IRBadr" w:cs="IRBadr"/>
            <w:noProof/>
            <w:rtl/>
          </w:rPr>
          <w:fldChar w:fldCharType="end"/>
        </w:r>
      </w:hyperlink>
    </w:p>
    <w:p w:rsidR="00AD7C53" w:rsidRPr="002065B0" w:rsidRDefault="00CC0334" w:rsidP="00AD7C53">
      <w:pPr>
        <w:pStyle w:val="TOC2"/>
        <w:tabs>
          <w:tab w:val="right" w:leader="dot" w:pos="9350"/>
        </w:tabs>
        <w:rPr>
          <w:rFonts w:ascii="IRBadr" w:hAnsi="IRBadr" w:cs="IRBadr"/>
          <w:noProof/>
          <w:szCs w:val="22"/>
        </w:rPr>
      </w:pPr>
      <w:hyperlink w:anchor="_Toc427990876" w:history="1">
        <w:r w:rsidR="00AD7C53" w:rsidRPr="002065B0">
          <w:rPr>
            <w:rStyle w:val="Hyperlink"/>
            <w:rFonts w:ascii="IRBadr" w:hAnsi="IRBadr" w:cs="IRBadr"/>
            <w:noProof/>
            <w:rtl/>
          </w:rPr>
          <w:t>قاعده درع در این مقام</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_Toc427990876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2</w:t>
        </w:r>
        <w:r w:rsidR="00AD7C53" w:rsidRPr="002065B0">
          <w:rPr>
            <w:rStyle w:val="Hyperlink"/>
            <w:rFonts w:ascii="IRBadr" w:hAnsi="IRBadr" w:cs="IRBadr"/>
            <w:noProof/>
            <w:rtl/>
          </w:rPr>
          <w:fldChar w:fldCharType="end"/>
        </w:r>
      </w:hyperlink>
    </w:p>
    <w:p w:rsidR="00AD7C53" w:rsidRPr="002065B0" w:rsidRDefault="00CC0334" w:rsidP="00AD7C53">
      <w:pPr>
        <w:pStyle w:val="TOC2"/>
        <w:tabs>
          <w:tab w:val="right" w:leader="dot" w:pos="9350"/>
        </w:tabs>
        <w:rPr>
          <w:rFonts w:ascii="IRBadr" w:hAnsi="IRBadr" w:cs="IRBadr"/>
          <w:noProof/>
          <w:szCs w:val="22"/>
        </w:rPr>
      </w:pPr>
      <w:hyperlink w:anchor="_Toc427990877" w:history="1">
        <w:r w:rsidR="00AD7C53" w:rsidRPr="002065B0">
          <w:rPr>
            <w:rStyle w:val="Hyperlink"/>
            <w:rFonts w:ascii="IRBadr" w:hAnsi="IRBadr" w:cs="IRBadr"/>
            <w:noProof/>
            <w:rtl/>
          </w:rPr>
          <w:t>تفاوت عبارات در روایات</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_Toc427990877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2</w:t>
        </w:r>
        <w:r w:rsidR="00AD7C53" w:rsidRPr="002065B0">
          <w:rPr>
            <w:rStyle w:val="Hyperlink"/>
            <w:rFonts w:ascii="IRBadr" w:hAnsi="IRBadr" w:cs="IRBadr"/>
            <w:noProof/>
            <w:rtl/>
          </w:rPr>
          <w:fldChar w:fldCharType="end"/>
        </w:r>
      </w:hyperlink>
    </w:p>
    <w:p w:rsidR="00AD7C53" w:rsidRPr="002065B0" w:rsidRDefault="00CC0334" w:rsidP="00AD7C53">
      <w:pPr>
        <w:pStyle w:val="TOC2"/>
        <w:tabs>
          <w:tab w:val="right" w:leader="dot" w:pos="9350"/>
        </w:tabs>
        <w:rPr>
          <w:rFonts w:ascii="IRBadr" w:hAnsi="IRBadr" w:cs="IRBadr"/>
          <w:noProof/>
          <w:szCs w:val="22"/>
        </w:rPr>
      </w:pPr>
      <w:hyperlink w:anchor="_Toc427990878" w:history="1">
        <w:r w:rsidR="00AD7C53" w:rsidRPr="002065B0">
          <w:rPr>
            <w:rStyle w:val="Hyperlink"/>
            <w:rFonts w:ascii="IRBadr" w:hAnsi="IRBadr" w:cs="IRBadr"/>
            <w:noProof/>
            <w:rtl/>
          </w:rPr>
          <w:t>اتخاذ مبنا</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_Toc427990878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2</w:t>
        </w:r>
        <w:r w:rsidR="00AD7C53" w:rsidRPr="002065B0">
          <w:rPr>
            <w:rStyle w:val="Hyperlink"/>
            <w:rFonts w:ascii="IRBadr" w:hAnsi="IRBadr" w:cs="IRBadr"/>
            <w:noProof/>
            <w:rtl/>
          </w:rPr>
          <w:fldChar w:fldCharType="end"/>
        </w:r>
      </w:hyperlink>
    </w:p>
    <w:p w:rsidR="00AD7C53" w:rsidRPr="002065B0" w:rsidRDefault="00CC0334" w:rsidP="00AD7C53">
      <w:pPr>
        <w:pStyle w:val="TOC3"/>
        <w:tabs>
          <w:tab w:val="right" w:leader="dot" w:pos="9350"/>
        </w:tabs>
        <w:rPr>
          <w:rFonts w:ascii="IRBadr" w:eastAsiaTheme="minorEastAsia" w:hAnsi="IRBadr" w:cs="IRBadr"/>
          <w:noProof/>
          <w:szCs w:val="22"/>
        </w:rPr>
      </w:pPr>
      <w:hyperlink w:anchor="_Toc427990879" w:history="1">
        <w:r w:rsidR="00AD7C53" w:rsidRPr="002065B0">
          <w:rPr>
            <w:rStyle w:val="Hyperlink"/>
            <w:rFonts w:ascii="IRBadr" w:hAnsi="IRBadr" w:cs="IRBadr"/>
            <w:noProof/>
            <w:rtl/>
          </w:rPr>
          <w:t>دلالت سیره بر قول غیر مشهور</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_Toc427990879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2</w:t>
        </w:r>
        <w:r w:rsidR="00AD7C53" w:rsidRPr="002065B0">
          <w:rPr>
            <w:rStyle w:val="Hyperlink"/>
            <w:rFonts w:ascii="IRBadr" w:hAnsi="IRBadr" w:cs="IRBadr"/>
            <w:noProof/>
            <w:rtl/>
          </w:rPr>
          <w:fldChar w:fldCharType="end"/>
        </w:r>
      </w:hyperlink>
    </w:p>
    <w:p w:rsidR="00AD7C53" w:rsidRPr="002065B0" w:rsidRDefault="00CC0334" w:rsidP="00AD7C53">
      <w:pPr>
        <w:pStyle w:val="TOC3"/>
        <w:tabs>
          <w:tab w:val="right" w:leader="dot" w:pos="9350"/>
        </w:tabs>
        <w:rPr>
          <w:rFonts w:ascii="IRBadr" w:eastAsiaTheme="minorEastAsia" w:hAnsi="IRBadr" w:cs="IRBadr"/>
          <w:noProof/>
          <w:szCs w:val="22"/>
        </w:rPr>
      </w:pPr>
      <w:hyperlink w:anchor="_Toc427990880" w:history="1">
        <w:r w:rsidR="00AD7C53" w:rsidRPr="002065B0">
          <w:rPr>
            <w:rStyle w:val="Hyperlink"/>
            <w:rFonts w:ascii="IRBadr" w:hAnsi="IRBadr" w:cs="IRBadr"/>
            <w:noProof/>
            <w:rtl/>
          </w:rPr>
          <w:t>روایت اول</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_Toc427990880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3</w:t>
        </w:r>
        <w:r w:rsidR="00AD7C53" w:rsidRPr="002065B0">
          <w:rPr>
            <w:rStyle w:val="Hyperlink"/>
            <w:rFonts w:ascii="IRBadr" w:hAnsi="IRBadr" w:cs="IRBadr"/>
            <w:noProof/>
            <w:rtl/>
          </w:rPr>
          <w:fldChar w:fldCharType="end"/>
        </w:r>
      </w:hyperlink>
    </w:p>
    <w:p w:rsidR="00AD7C53" w:rsidRPr="002065B0" w:rsidRDefault="00CC0334" w:rsidP="00AD7C53">
      <w:pPr>
        <w:pStyle w:val="TOC3"/>
        <w:tabs>
          <w:tab w:val="right" w:leader="dot" w:pos="9350"/>
        </w:tabs>
        <w:rPr>
          <w:rFonts w:ascii="IRBadr" w:eastAsiaTheme="minorEastAsia" w:hAnsi="IRBadr" w:cs="IRBadr"/>
          <w:noProof/>
          <w:szCs w:val="22"/>
        </w:rPr>
      </w:pPr>
      <w:hyperlink w:anchor="_Toc427990881" w:history="1">
        <w:r w:rsidR="00AD7C53" w:rsidRPr="002065B0">
          <w:rPr>
            <w:rStyle w:val="Hyperlink"/>
            <w:rFonts w:ascii="IRBadr" w:hAnsi="IRBadr" w:cs="IRBadr"/>
            <w:noProof/>
            <w:rtl/>
          </w:rPr>
          <w:t>روایت دوم</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_Toc427990881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3</w:t>
        </w:r>
        <w:r w:rsidR="00AD7C53" w:rsidRPr="002065B0">
          <w:rPr>
            <w:rStyle w:val="Hyperlink"/>
            <w:rFonts w:ascii="IRBadr" w:hAnsi="IRBadr" w:cs="IRBadr"/>
            <w:noProof/>
            <w:rtl/>
          </w:rPr>
          <w:fldChar w:fldCharType="end"/>
        </w:r>
      </w:hyperlink>
    </w:p>
    <w:p w:rsidR="00AD7C53" w:rsidRPr="002065B0" w:rsidRDefault="00CC0334" w:rsidP="00AD7C53">
      <w:pPr>
        <w:pStyle w:val="TOC4"/>
        <w:tabs>
          <w:tab w:val="right" w:leader="dot" w:pos="9350"/>
        </w:tabs>
        <w:rPr>
          <w:rFonts w:ascii="IRBadr" w:eastAsiaTheme="minorEastAsia" w:hAnsi="IRBadr" w:cs="IRBadr"/>
          <w:noProof/>
          <w:szCs w:val="22"/>
        </w:rPr>
      </w:pPr>
      <w:hyperlink w:anchor="_Toc427990882" w:history="1">
        <w:r w:rsidR="00AD7C53" w:rsidRPr="002065B0">
          <w:rPr>
            <w:rStyle w:val="Hyperlink"/>
            <w:rFonts w:ascii="IRBadr" w:hAnsi="IRBadr" w:cs="IRBadr"/>
            <w:noProof/>
            <w:rtl/>
          </w:rPr>
          <w:t>خطبه اخلاقی نهج‌البلاغه</w:t>
        </w:r>
        <w:r w:rsidR="00AD7C53" w:rsidRPr="002065B0">
          <w:rPr>
            <w:rFonts w:ascii="IRBadr" w:hAnsi="IRBadr" w:cs="IRBadr"/>
            <w:noProof/>
            <w:webHidden/>
          </w:rPr>
          <w:tab/>
        </w:r>
        <w:r w:rsidR="00AD7C53" w:rsidRPr="002065B0">
          <w:rPr>
            <w:rStyle w:val="Hyperlink"/>
            <w:rFonts w:ascii="IRBadr" w:hAnsi="IRBadr" w:cs="IRBadr"/>
            <w:noProof/>
            <w:rtl/>
          </w:rPr>
          <w:fldChar w:fldCharType="begin"/>
        </w:r>
        <w:r w:rsidR="00AD7C53" w:rsidRPr="002065B0">
          <w:rPr>
            <w:rFonts w:ascii="IRBadr" w:hAnsi="IRBadr" w:cs="IRBadr"/>
            <w:noProof/>
            <w:webHidden/>
          </w:rPr>
          <w:instrText xml:space="preserve"> PAGEREF _Toc427990882 \h </w:instrText>
        </w:r>
        <w:r w:rsidR="00AD7C53" w:rsidRPr="002065B0">
          <w:rPr>
            <w:rStyle w:val="Hyperlink"/>
            <w:rFonts w:ascii="IRBadr" w:hAnsi="IRBadr" w:cs="IRBadr"/>
            <w:noProof/>
            <w:rtl/>
          </w:rPr>
        </w:r>
        <w:r w:rsidR="00AD7C53" w:rsidRPr="002065B0">
          <w:rPr>
            <w:rStyle w:val="Hyperlink"/>
            <w:rFonts w:ascii="IRBadr" w:hAnsi="IRBadr" w:cs="IRBadr"/>
            <w:noProof/>
            <w:rtl/>
          </w:rPr>
          <w:fldChar w:fldCharType="separate"/>
        </w:r>
        <w:r w:rsidR="00AD7C53" w:rsidRPr="002065B0">
          <w:rPr>
            <w:rFonts w:ascii="IRBadr" w:hAnsi="IRBadr" w:cs="IRBadr"/>
            <w:noProof/>
            <w:webHidden/>
          </w:rPr>
          <w:t>3</w:t>
        </w:r>
        <w:r w:rsidR="00AD7C53" w:rsidRPr="002065B0">
          <w:rPr>
            <w:rStyle w:val="Hyperlink"/>
            <w:rFonts w:ascii="IRBadr" w:hAnsi="IRBadr" w:cs="IRBadr"/>
            <w:noProof/>
            <w:rtl/>
          </w:rPr>
          <w:fldChar w:fldCharType="end"/>
        </w:r>
      </w:hyperlink>
    </w:p>
    <w:p w:rsidR="00AD7C53" w:rsidRPr="002065B0" w:rsidRDefault="00AD7C53" w:rsidP="00AD7C53">
      <w:pPr>
        <w:bidi/>
        <w:jc w:val="both"/>
        <w:rPr>
          <w:rFonts w:ascii="IRBadr" w:hAnsi="IRBadr" w:cs="IRBadr"/>
          <w:sz w:val="28"/>
          <w:szCs w:val="28"/>
          <w:rtl/>
          <w:lang w:bidi="fa-IR"/>
        </w:rPr>
      </w:pPr>
      <w:r w:rsidRPr="002065B0">
        <w:rPr>
          <w:rFonts w:ascii="IRBadr" w:hAnsi="IRBadr" w:cs="IRBadr"/>
          <w:sz w:val="28"/>
          <w:szCs w:val="28"/>
          <w:rtl/>
          <w:lang w:bidi="fa-IR"/>
        </w:rPr>
        <w:fldChar w:fldCharType="end"/>
      </w:r>
    </w:p>
    <w:p w:rsidR="002065B0" w:rsidRDefault="002065B0">
      <w:pPr>
        <w:spacing w:after="0" w:line="240" w:lineRule="auto"/>
        <w:rPr>
          <w:rFonts w:ascii="IRBadr" w:eastAsia="2  Lotus" w:hAnsi="IRBadr" w:cs="IRBadr"/>
          <w:bCs/>
          <w:sz w:val="28"/>
          <w:szCs w:val="44"/>
          <w:rtl/>
          <w:lang w:bidi="fa-IR"/>
        </w:rPr>
      </w:pPr>
      <w:bookmarkStart w:id="0" w:name="_Toc427990872"/>
      <w:r>
        <w:rPr>
          <w:rFonts w:ascii="IRBadr" w:hAnsi="IRBadr" w:cs="IRBadr"/>
          <w:rtl/>
        </w:rPr>
        <w:br w:type="page"/>
      </w:r>
    </w:p>
    <w:p w:rsidR="00B709FE" w:rsidRPr="002065B0" w:rsidRDefault="00B709FE" w:rsidP="00B709FE">
      <w:pPr>
        <w:pStyle w:val="Heading1"/>
        <w:rPr>
          <w:rFonts w:ascii="IRBadr" w:hAnsi="IRBadr" w:cs="IRBadr"/>
          <w:rtl/>
        </w:rPr>
      </w:pPr>
      <w:r w:rsidRPr="002065B0">
        <w:rPr>
          <w:rFonts w:ascii="IRBadr" w:hAnsi="IRBadr" w:cs="IRBadr"/>
          <w:rtl/>
        </w:rPr>
        <w:lastRenderedPageBreak/>
        <w:t>حد مرتد</w:t>
      </w:r>
      <w:bookmarkEnd w:id="0"/>
    </w:p>
    <w:p w:rsidR="00B709FE" w:rsidRPr="002065B0" w:rsidRDefault="00B709FE" w:rsidP="00B709FE">
      <w:pPr>
        <w:pStyle w:val="Heading1"/>
        <w:rPr>
          <w:rFonts w:ascii="IRBadr" w:hAnsi="IRBadr" w:cs="IRBadr"/>
          <w:rtl/>
        </w:rPr>
      </w:pPr>
      <w:bookmarkStart w:id="1" w:name="_Toc427990873"/>
      <w:r w:rsidRPr="002065B0">
        <w:rPr>
          <w:rFonts w:ascii="IRBadr" w:hAnsi="IRBadr" w:cs="IRBadr"/>
          <w:rtl/>
        </w:rPr>
        <w:t>مرور بحث گذشته</w:t>
      </w:r>
      <w:bookmarkEnd w:id="1"/>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در جلسه گذشته بیان شد که در قبال مرتد فطری پنج قول وجود دارد، استدلالاتی که در مورد هریک از این اقوال ارائه‌شده بود موردبررسی قرار گرفت و گفته شد که در میان خاصه نیز اقوال نادری مبنی بر پذیرش توبه مرتد فطری وجود دارد اما چون مخالف باشهرت عظیمه است، طبعاً در آن جای تأمل وجود دارد.</w:t>
      </w:r>
    </w:p>
    <w:p w:rsidR="00B709FE" w:rsidRPr="002065B0" w:rsidRDefault="00B709FE" w:rsidP="00B709FE">
      <w:pPr>
        <w:pStyle w:val="Heading2"/>
        <w:rPr>
          <w:rFonts w:ascii="IRBadr" w:hAnsi="IRBadr" w:cs="IRBadr"/>
          <w:rtl/>
        </w:rPr>
      </w:pPr>
      <w:bookmarkStart w:id="2" w:name="_Toc427990874"/>
      <w:r w:rsidRPr="002065B0">
        <w:rPr>
          <w:rFonts w:ascii="IRBadr" w:hAnsi="IRBadr" w:cs="IRBadr"/>
          <w:rtl/>
        </w:rPr>
        <w:t>مراد از عدم استتابه در روایات</w:t>
      </w:r>
      <w:bookmarkEnd w:id="2"/>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از مرحوم شهید در مسالک نقل‌شده است که مراد از لا یستتاب در روایات، عدم قبول توبه نیست بلکه این عبارت درصدد بیان وظیفه حاکم است. چراکه در مرتد فطری وظیفه حاکم است که از او توبه بخواهد اما در اینجا این وظیفه بر دوش حاکم نیست. و این همان‌طور که واضح است ملازمتی با عدم پذیرش توبه در صورت صدور از او ندارد.</w:t>
      </w:r>
    </w:p>
    <w:p w:rsidR="00B709FE" w:rsidRPr="002065B0" w:rsidRDefault="00B709FE" w:rsidP="00B709FE">
      <w:pPr>
        <w:pStyle w:val="Heading2"/>
        <w:rPr>
          <w:rFonts w:ascii="IRBadr" w:hAnsi="IRBadr" w:cs="IRBadr"/>
          <w:rtl/>
        </w:rPr>
      </w:pPr>
      <w:bookmarkStart w:id="3" w:name="_Toc427990875"/>
      <w:r w:rsidRPr="002065B0">
        <w:rPr>
          <w:rFonts w:ascii="IRBadr" w:hAnsi="IRBadr" w:cs="IRBadr"/>
          <w:rtl/>
        </w:rPr>
        <w:t>مناقشه در استدلال فوق</w:t>
      </w:r>
      <w:bookmarkEnd w:id="3"/>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این استدلال شهید در کتاب الفقه نیز ذکرشده است و ممکن است به نحوی مورد مناقشه قرار گیرد که؛ اگر این جمله به‌تنهایی اخذ شود، حاصل همین امری است که شهید فرموده است اما زمانی که با مجموعه کلام موردنظر قرار گیرد، عدم پذیرش توبه به دست خواهد آمد. چراکه در ادامه آن فرموده شده باید او کشته شود و استتابه ای در کار نیست.</w:t>
      </w:r>
    </w:p>
    <w:p w:rsidR="00B709FE" w:rsidRPr="002065B0" w:rsidRDefault="00B709FE" w:rsidP="00B709FE">
      <w:pPr>
        <w:pStyle w:val="Heading2"/>
        <w:rPr>
          <w:rFonts w:ascii="IRBadr" w:hAnsi="IRBadr" w:cs="IRBadr"/>
          <w:rtl/>
        </w:rPr>
      </w:pPr>
      <w:bookmarkStart w:id="4" w:name="_Toc427990876"/>
      <w:r w:rsidRPr="002065B0">
        <w:rPr>
          <w:rFonts w:ascii="IRBadr" w:hAnsi="IRBadr" w:cs="IRBadr"/>
          <w:rtl/>
        </w:rPr>
        <w:t>قاعده درع در این مقام</w:t>
      </w:r>
      <w:bookmarkEnd w:id="4"/>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روشن است که باوجود حکم به لزوم قتل او، جایی برای پذیرش توبه او در امور اخروی باقی نمی‌ماند. مگر اینکه در اینجا قاعده درع حکم کند که این استدلال چون از ظهور صریحی برخوردار نیست، نمی‌تواند در اینجا مورد استدلال قرار گیرد.</w:t>
      </w:r>
    </w:p>
    <w:p w:rsidR="00B709FE" w:rsidRPr="002065B0" w:rsidRDefault="00B709FE" w:rsidP="00B709FE">
      <w:pPr>
        <w:pStyle w:val="Heading2"/>
        <w:rPr>
          <w:rFonts w:ascii="IRBadr" w:hAnsi="IRBadr" w:cs="IRBadr"/>
          <w:rtl/>
        </w:rPr>
      </w:pPr>
      <w:bookmarkStart w:id="5" w:name="_Toc427990877"/>
      <w:r w:rsidRPr="002065B0">
        <w:rPr>
          <w:rFonts w:ascii="IRBadr" w:hAnsi="IRBadr" w:cs="IRBadr"/>
          <w:rtl/>
        </w:rPr>
        <w:t>تفاوت عبارات در روایات</w:t>
      </w:r>
      <w:bookmarkEnd w:id="5"/>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 xml:space="preserve">مطلب دیگر در روایات این است که در برخی روایات به‌جای تعبیر از لایستتاب، تعبیر به لایستتیب وجود دارد که در روایت معتبره محمد بن مسلم که روایت دوم باب اول بود، چنین تعبیری وجود داشت. در قبال تعبیر به عدم پذیرش توبه نیز در روایات، از آقای </w:t>
      </w:r>
      <w:r w:rsidRPr="002065B0">
        <w:rPr>
          <w:rFonts w:ascii="IRBadr" w:hAnsi="IRBadr" w:cs="IRBadr"/>
          <w:sz w:val="28"/>
          <w:szCs w:val="28"/>
          <w:rtl/>
          <w:lang w:bidi="fa-IR"/>
        </w:rPr>
        <w:lastRenderedPageBreak/>
        <w:t xml:space="preserve">شیرازی این تعبیر وجود دارد که با وفور روایات قبول توبه قطعاً این بخش از روایات مرتد را حمل بر مجازیت می‌کنیم چراکه روایات توبه حقیقتاً از پذیرش مخصصی </w:t>
      </w:r>
      <w:r w:rsidR="002065B0">
        <w:rPr>
          <w:rFonts w:ascii="IRBadr" w:hAnsi="IRBadr" w:cs="IRBadr"/>
          <w:sz w:val="28"/>
          <w:szCs w:val="28"/>
          <w:rtl/>
          <w:lang w:bidi="fa-IR"/>
        </w:rPr>
        <w:t>ابا</w:t>
      </w:r>
      <w:r w:rsidRPr="002065B0">
        <w:rPr>
          <w:rFonts w:ascii="IRBadr" w:hAnsi="IRBadr" w:cs="IRBadr"/>
          <w:sz w:val="28"/>
          <w:szCs w:val="28"/>
          <w:rtl/>
          <w:lang w:bidi="fa-IR"/>
        </w:rPr>
        <w:t xml:space="preserve"> داشته و از استحکام و اتقان بالایی برخوردارند.</w:t>
      </w:r>
    </w:p>
    <w:p w:rsidR="00B709FE" w:rsidRPr="002065B0" w:rsidRDefault="00B709FE" w:rsidP="00B709FE">
      <w:pPr>
        <w:pStyle w:val="Heading2"/>
        <w:rPr>
          <w:rFonts w:ascii="IRBadr" w:hAnsi="IRBadr" w:cs="IRBadr"/>
          <w:rtl/>
        </w:rPr>
      </w:pPr>
      <w:bookmarkStart w:id="6" w:name="_Toc427990878"/>
      <w:r w:rsidRPr="002065B0">
        <w:rPr>
          <w:rFonts w:ascii="IRBadr" w:hAnsi="IRBadr" w:cs="IRBadr"/>
          <w:rtl/>
        </w:rPr>
        <w:t>اتخاذ مبنا</w:t>
      </w:r>
      <w:bookmarkEnd w:id="6"/>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اما انصافاً استدلال فوق، استدلال ضعیفی است که گفته شود صرفاً این تعبیر در اینجا برای تشدید بوده است. به‌خصوص اینکه در روایات این باب تصریح به این نفی جنس وجود دارد.</w:t>
      </w:r>
    </w:p>
    <w:p w:rsidR="00B709FE" w:rsidRPr="002065B0" w:rsidRDefault="00B709FE" w:rsidP="00B709FE">
      <w:pPr>
        <w:pStyle w:val="Heading3"/>
        <w:rPr>
          <w:rFonts w:ascii="IRBadr" w:hAnsi="IRBadr" w:cs="IRBadr"/>
          <w:rtl/>
        </w:rPr>
      </w:pPr>
      <w:bookmarkStart w:id="7" w:name="_Toc427990879"/>
      <w:r w:rsidRPr="002065B0">
        <w:rPr>
          <w:rFonts w:ascii="IRBadr" w:hAnsi="IRBadr" w:cs="IRBadr"/>
          <w:rtl/>
        </w:rPr>
        <w:t>دلالت سیره بر قول غیر مشهور</w:t>
      </w:r>
      <w:bookmarkEnd w:id="7"/>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استدلال دیگری که قائلین قول نادر بدان داشته‌اند برمی‌گردد به سیره ائمه اطهار در برخورد با مرتدین. مثلاً در روایت چهارم باب اول روایت معتبره ای در این زمینه بود که؛</w:t>
      </w:r>
    </w:p>
    <w:p w:rsidR="00B709FE" w:rsidRPr="002065B0" w:rsidRDefault="00B709FE" w:rsidP="00B709FE">
      <w:pPr>
        <w:pStyle w:val="Heading3"/>
        <w:rPr>
          <w:rFonts w:ascii="IRBadr" w:hAnsi="IRBadr" w:cs="IRBadr"/>
          <w:rtl/>
        </w:rPr>
      </w:pPr>
      <w:bookmarkStart w:id="8" w:name="_Toc427990880"/>
      <w:r w:rsidRPr="002065B0">
        <w:rPr>
          <w:rFonts w:ascii="IRBadr" w:hAnsi="IRBadr" w:cs="IRBadr"/>
          <w:rtl/>
        </w:rPr>
        <w:t>روایت اول</w:t>
      </w:r>
      <w:bookmarkEnd w:id="8"/>
    </w:p>
    <w:p w:rsidR="00B709FE" w:rsidRPr="002065B0" w:rsidRDefault="00B709FE" w:rsidP="00B709F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065B0">
        <w:rPr>
          <w:rFonts w:ascii="IRBadr" w:eastAsia="Times New Roman" w:hAnsi="IRBadr" w:cs="IRBadr"/>
          <w:b/>
          <w:bCs/>
          <w:color w:val="000000" w:themeColor="text1"/>
          <w:sz w:val="28"/>
          <w:szCs w:val="28"/>
          <w:rtl/>
          <w:lang w:bidi="fa-IR"/>
        </w:rPr>
        <w:t>«مُحَمَّدُ بْنُ یحْیی عَنْ أَحْمَدَ بْنِ مُحَمَّدٍ عَنْ عَلِی بْنِ الْحَکمِ عَنْ مُوسَی بْنِ بَکرٍ عَنِ الْفُضَیلِ بْنِ یسَارٍ عَنْ أَبِی عَبْدِ اللَّهِ ع أَنَّ رَجُلًا مِنَ الْمُسْلِمِینَ تَنَصَّرَ فَأُتِی بِهِ أَمِیرُ الْمُؤْمِنِینَ ع فَاسْتَتَابَهُ فَأَبَی عَلَیهِ فَقَبَضَ عَلَی شَعْرِهِ ثُمَّ قَالَ طَئُوا یا عِبَادَ اللَّهِ فَوُطِئَ حَتَّی مَاتَ.»</w:t>
      </w:r>
      <w:r w:rsidRPr="002065B0">
        <w:rPr>
          <w:rFonts w:ascii="IRBadr" w:eastAsia="Times New Roman" w:hAnsi="IRBadr" w:cs="IRBadr"/>
          <w:b/>
          <w:bCs/>
          <w:color w:val="000000" w:themeColor="text1"/>
          <w:sz w:val="28"/>
          <w:szCs w:val="28"/>
          <w:vertAlign w:val="superscript"/>
          <w:rtl/>
          <w:lang w:bidi="fa-IR"/>
        </w:rPr>
        <w:footnoteReference w:id="1"/>
      </w:r>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اینکه این روایت حمل بر مرتد ملی شود، امری بعید است.</w:t>
      </w:r>
    </w:p>
    <w:p w:rsidR="00B709FE" w:rsidRPr="002065B0" w:rsidRDefault="00B709FE" w:rsidP="00B709FE">
      <w:pPr>
        <w:pStyle w:val="Heading3"/>
        <w:rPr>
          <w:rFonts w:ascii="IRBadr" w:hAnsi="IRBadr" w:cs="IRBadr"/>
          <w:rtl/>
        </w:rPr>
      </w:pPr>
      <w:bookmarkStart w:id="10" w:name="_Toc427990881"/>
      <w:r w:rsidRPr="002065B0">
        <w:rPr>
          <w:rFonts w:ascii="IRBadr" w:hAnsi="IRBadr" w:cs="IRBadr"/>
          <w:rtl/>
        </w:rPr>
        <w:t>روایت دوم</w:t>
      </w:r>
      <w:bookmarkEnd w:id="10"/>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در روایتی دیگر نیز چنین است که؛</w:t>
      </w:r>
    </w:p>
    <w:p w:rsidR="00B709FE" w:rsidRPr="002065B0" w:rsidRDefault="00B709FE" w:rsidP="00B709F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065B0">
        <w:rPr>
          <w:rFonts w:ascii="IRBadr" w:eastAsia="Times New Roman" w:hAnsi="IRBadr" w:cs="IRBadr"/>
          <w:b/>
          <w:bCs/>
          <w:color w:val="000000" w:themeColor="text1"/>
          <w:sz w:val="28"/>
          <w:szCs w:val="28"/>
          <w:rtl/>
          <w:lang w:bidi="fa-IR"/>
        </w:rPr>
        <w:t xml:space="preserve">«أَبُو عَلِی الْأَشْعَرِی عَنْ مُحَمَّدِ بْنِ سَالِمٍ عَنْ أَحْمَدَ بْنِ النَّضْرِ عَنْ عَمْرِو بْنِ شِمْرٍ عَنْ جَابِرٍ عَنْ أَبِی عَبْدِ اللَّهِ ع قَالَ: أُتِی أَمِیرُ الْمُؤْمِنِینَ ص بِرَجُلٍ مِنْ بَنِی ثَعْلَبَةَ قَدْ تَنَصَّرَ بَعْدَ إِسْلَامِهِ فَشَهِدُوا عَلَیهِ فَقَالَ لَهُ أَمِیرُ الْمُؤْمِنِینَ ع مَا یقُولُ هَؤُلَاءِ الشُّهُودُ </w:t>
      </w:r>
      <w:r w:rsidRPr="002065B0">
        <w:rPr>
          <w:rFonts w:ascii="IRBadr" w:eastAsia="Times New Roman" w:hAnsi="IRBadr" w:cs="IRBadr"/>
          <w:b/>
          <w:bCs/>
          <w:color w:val="000000" w:themeColor="text1"/>
          <w:sz w:val="28"/>
          <w:szCs w:val="28"/>
          <w:rtl/>
          <w:lang w:bidi="fa-IR"/>
        </w:rPr>
        <w:lastRenderedPageBreak/>
        <w:t xml:space="preserve">قَالَ صَدَقُوا وَ أَنَا أَرْجِعُ إِلَی الْإِسْلَامِ فَقَالَ أَمَا إِنَّک لَوْ کذَّبْتَ الشُّهُودَ لَضَرَبْتُ عُنُقَک وَ قَدْ قَبِلْتُ مِنْک وَ لَا تَعُدْ فَإِنَّک إِنْ رَجَعْتَ لَمْ أَقْبَلْ مِنْک رُجُوعاً بَعْدَهُ.» </w:t>
      </w:r>
      <w:r w:rsidRPr="002065B0">
        <w:rPr>
          <w:rFonts w:ascii="IRBadr" w:eastAsia="Times New Roman" w:hAnsi="IRBadr" w:cs="IRBadr"/>
          <w:b/>
          <w:bCs/>
          <w:color w:val="000000" w:themeColor="text1"/>
          <w:sz w:val="28"/>
          <w:szCs w:val="28"/>
          <w:vertAlign w:val="superscript"/>
          <w:rtl/>
          <w:lang w:bidi="fa-IR"/>
        </w:rPr>
        <w:footnoteReference w:id="2"/>
      </w:r>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ازلحاظ تاریخی بنی ثعلبه قبیله‌ای جدید الاسلام نبودند که در اینجا امام توبه او را قبول کردند. اگر ادعای اجماعی نیز در مقابل شود، چون مدرکی است مورد خدشه خواهد بود. اما با توجه به‌قاعده تدرع بعید نیست که خدشه‌ای در عدم قبول توبه مرتد فطری وجود داشته باشد.</w:t>
      </w:r>
    </w:p>
    <w:p w:rsidR="00B709FE" w:rsidRPr="002065B0" w:rsidRDefault="00B709FE" w:rsidP="00B709FE">
      <w:pPr>
        <w:pStyle w:val="Heading4"/>
        <w:ind w:firstLine="0"/>
        <w:rPr>
          <w:rFonts w:ascii="IRBadr" w:hAnsi="IRBadr" w:cs="IRBadr"/>
          <w:rtl/>
        </w:rPr>
      </w:pPr>
      <w:bookmarkStart w:id="11" w:name="_Toc427990882"/>
      <w:r w:rsidRPr="002065B0">
        <w:rPr>
          <w:rFonts w:ascii="IRBadr" w:hAnsi="IRBadr" w:cs="IRBadr"/>
          <w:rtl/>
        </w:rPr>
        <w:t>خطبه اخلاقی نهج‌البلاغه</w:t>
      </w:r>
      <w:bookmarkEnd w:id="11"/>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بحث در کلمات قصار شماره 432 بود که امام در آن فرموده بودند؛</w:t>
      </w:r>
    </w:p>
    <w:p w:rsidR="00B709FE" w:rsidRPr="002065B0" w:rsidRDefault="00B709FE" w:rsidP="00B709F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2065B0">
        <w:rPr>
          <w:rFonts w:ascii="IRBadr" w:eastAsia="Times New Roman" w:hAnsi="IRBadr" w:cs="IRBadr"/>
          <w:b/>
          <w:bCs/>
          <w:color w:val="000000" w:themeColor="text1"/>
          <w:sz w:val="28"/>
          <w:szCs w:val="28"/>
          <w:rtl/>
          <w:lang w:bidi="fa-IR"/>
        </w:rPr>
        <w:t>«إِنَّ أَوْلِیاءَ اللَّهِ هُمُ الَّذِینَ نَظَرُوا إِلَی بَاطِنِ الدُّنْیا إِذَا نَظَرَ النَّاسُ إِلَی ظَاهِرِهَا وَ اشْتَغَلُوا بِآجِلِهَا إِذَا اشْتَغَلَ النَّاسُ بِعَاجِلِهَا فَأَمَاتُوا مِنْهَا مَا خَشُوا أَنْ یمِیتَهُمْ وَ تَرَکوا مِنْهَا مَا عَلِمُوا أَنَّهُ سَیتْرُکهُمْ وَ رَأَوُا اسْتِکثَارَ غَیرِهِمْ مِنْهَا اسْتِقْلَالًا وَ دَرَکهُمْ لَهَا فَوْتاً أَعْدَاءُ</w:t>
      </w:r>
      <w:r w:rsidRPr="002065B0">
        <w:rPr>
          <w:rFonts w:ascii="IRBadr" w:eastAsia="Times New Roman" w:hAnsi="IRBadr" w:cs="IRBadr"/>
          <w:b/>
          <w:bCs/>
          <w:color w:val="000000" w:themeColor="text1"/>
          <w:sz w:val="28"/>
          <w:szCs w:val="28"/>
          <w:lang w:bidi="fa-IR"/>
        </w:rPr>
        <w:t>‌</w:t>
      </w:r>
      <w:r w:rsidRPr="002065B0">
        <w:rPr>
          <w:rFonts w:ascii="IRBadr" w:eastAsia="Times New Roman" w:hAnsi="IRBadr" w:cs="IRBadr"/>
          <w:b/>
          <w:bCs/>
          <w:color w:val="000000" w:themeColor="text1"/>
          <w:sz w:val="28"/>
          <w:szCs w:val="28"/>
          <w:rtl/>
          <w:lang w:bidi="fa-IR"/>
        </w:rPr>
        <w:t>مَا سَالَمَ النَّاسُ وَ سِلْمُ مَا عَادَی النَّاسُ بِهِمْ عُلِمَ الْکتَابُ وَ بِهِ عُلِمُوا وَ بِهِمْ قَامَ الْکتَابُ وَ بِهِ قَامُوا لَا یرَوْنَ مَرْجُوّاً فَوْقَ مَا یرْجُونَ وَ لَا مَخُوفاً فَوْقَ مَا یخَافُونَ»</w:t>
      </w:r>
      <w:r w:rsidRPr="002065B0">
        <w:rPr>
          <w:rFonts w:ascii="IRBadr" w:eastAsia="Times New Roman" w:hAnsi="IRBadr" w:cs="IRBadr"/>
          <w:b/>
          <w:bCs/>
          <w:color w:val="000000" w:themeColor="text1"/>
          <w:sz w:val="28"/>
          <w:szCs w:val="28"/>
          <w:vertAlign w:val="superscript"/>
          <w:rtl/>
          <w:lang w:bidi="fa-IR"/>
        </w:rPr>
        <w:footnoteReference w:id="3"/>
      </w:r>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ظواهر دنیا اولیاء الهی را از حقایق عالم و توجه به آخرت بازنمی‌دارد. دیدشان وسیع است و آینده‌های دور را مشاهده می‌کنند، بر این اساس است که اسب سرکشی و شهوت انسانی را به زمین کوبیدند و تنعمات دنیوی مانع از انجام‌وظیفه آن‌ها نمی‌شود.</w:t>
      </w:r>
    </w:p>
    <w:p w:rsidR="00B709FE" w:rsidRPr="002065B0" w:rsidRDefault="00B709FE" w:rsidP="00B709FE">
      <w:pPr>
        <w:bidi/>
        <w:jc w:val="both"/>
        <w:rPr>
          <w:rFonts w:ascii="IRBadr" w:hAnsi="IRBadr" w:cs="IRBadr"/>
          <w:sz w:val="28"/>
          <w:szCs w:val="28"/>
          <w:rtl/>
          <w:lang w:bidi="fa-IR"/>
        </w:rPr>
      </w:pPr>
      <w:r w:rsidRPr="002065B0">
        <w:rPr>
          <w:rFonts w:ascii="IRBadr" w:hAnsi="IRBadr" w:cs="IRBadr"/>
          <w:sz w:val="28"/>
          <w:szCs w:val="28"/>
          <w:rtl/>
          <w:lang w:bidi="fa-IR"/>
        </w:rPr>
        <w:t xml:space="preserve">نسبت به آن‌ها دل‌بستگی‌ای ندارند و استکثار موجود در دنیا آن‌ها را به خود مشغول نمی‌سازد. با مردم در صلح و آرامش به سر می‌برند و با دشمنان در حالت قهر قرار دارند. هادیانی برای مردم هستند و فوق آنچه بدان امید بسته‌اند که خدایشان باشد، نقطه امیدی را نمی‌بینند. ترس آن‌ها از خداست و ترسی فراتر از آن درونشان راه ندارد همان‌طور که </w:t>
      </w:r>
      <w:r w:rsidR="002065B0">
        <w:rPr>
          <w:rFonts w:ascii="IRBadr" w:hAnsi="IRBadr" w:cs="IRBadr"/>
          <w:sz w:val="28"/>
          <w:szCs w:val="28"/>
          <w:rtl/>
          <w:lang w:bidi="fa-IR"/>
        </w:rPr>
        <w:t>ملجائ</w:t>
      </w:r>
      <w:r w:rsidR="002065B0">
        <w:rPr>
          <w:rFonts w:ascii="IRBadr" w:hAnsi="IRBadr" w:cs="IRBadr" w:hint="cs"/>
          <w:sz w:val="28"/>
          <w:szCs w:val="28"/>
          <w:rtl/>
          <w:lang w:bidi="fa-IR"/>
        </w:rPr>
        <w:t>ی</w:t>
      </w:r>
      <w:r w:rsidRPr="002065B0">
        <w:rPr>
          <w:rFonts w:ascii="IRBadr" w:hAnsi="IRBadr" w:cs="IRBadr"/>
          <w:sz w:val="28"/>
          <w:szCs w:val="28"/>
          <w:rtl/>
          <w:lang w:bidi="fa-IR"/>
        </w:rPr>
        <w:t xml:space="preserve"> بالاتر از او ندارند.</w:t>
      </w:r>
    </w:p>
    <w:p w:rsidR="00B709FE" w:rsidRPr="002065B0" w:rsidRDefault="00B709FE" w:rsidP="00B709FE">
      <w:pPr>
        <w:bidi/>
        <w:jc w:val="both"/>
        <w:rPr>
          <w:rFonts w:ascii="IRBadr" w:hAnsi="IRBadr" w:cs="IRBadr"/>
          <w:sz w:val="28"/>
          <w:szCs w:val="28"/>
          <w:rtl/>
          <w:lang w:bidi="fa-IR"/>
        </w:rPr>
      </w:pPr>
    </w:p>
    <w:p w:rsidR="00B709FE" w:rsidRPr="002065B0" w:rsidRDefault="00B709FE" w:rsidP="00B709FE">
      <w:pPr>
        <w:bidi/>
        <w:jc w:val="both"/>
        <w:rPr>
          <w:rFonts w:ascii="IRBadr" w:hAnsi="IRBadr" w:cs="IRBadr"/>
          <w:sz w:val="28"/>
          <w:szCs w:val="28"/>
          <w:rtl/>
          <w:lang w:bidi="fa-IR"/>
        </w:rPr>
      </w:pPr>
    </w:p>
    <w:p w:rsidR="00152670" w:rsidRPr="002065B0" w:rsidRDefault="00152670" w:rsidP="00734D59">
      <w:pPr>
        <w:bidi/>
        <w:rPr>
          <w:rFonts w:ascii="IRBadr" w:hAnsi="IRBadr" w:cs="IRBadr"/>
          <w:rtl/>
          <w:lang w:bidi="fa-IR"/>
        </w:rPr>
      </w:pPr>
    </w:p>
    <w:sectPr w:rsidR="00152670" w:rsidRPr="002065B0"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34" w:rsidRDefault="00CC0334" w:rsidP="000D5800">
      <w:pPr>
        <w:spacing w:after="0" w:line="240" w:lineRule="auto"/>
      </w:pPr>
      <w:r>
        <w:separator/>
      </w:r>
    </w:p>
  </w:endnote>
  <w:endnote w:type="continuationSeparator" w:id="0">
    <w:p w:rsidR="00CC0334" w:rsidRDefault="00CC0334"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34" w:rsidRDefault="00CC0334" w:rsidP="00AD7C53">
      <w:pPr>
        <w:bidi/>
        <w:spacing w:after="0" w:line="240" w:lineRule="auto"/>
      </w:pPr>
      <w:r>
        <w:separator/>
      </w:r>
    </w:p>
  </w:footnote>
  <w:footnote w:type="continuationSeparator" w:id="0">
    <w:p w:rsidR="00CC0334" w:rsidRDefault="00CC0334" w:rsidP="000D5800">
      <w:pPr>
        <w:spacing w:after="0" w:line="240" w:lineRule="auto"/>
      </w:pPr>
      <w:r>
        <w:continuationSeparator/>
      </w:r>
    </w:p>
  </w:footnote>
  <w:footnote w:id="1">
    <w:p w:rsidR="00B709FE" w:rsidRDefault="00B709FE" w:rsidP="00B709FE">
      <w:pPr>
        <w:pStyle w:val="FootnoteText"/>
        <w:rPr>
          <w:rFonts w:hint="cs"/>
          <w:rtl/>
        </w:rPr>
      </w:pPr>
      <w:bookmarkStart w:id="9" w:name="_GoBack"/>
      <w:bookmarkEnd w:id="9"/>
      <w:r>
        <w:rPr>
          <w:rStyle w:val="FootnoteReference"/>
        </w:rPr>
        <w:footnoteRef/>
      </w:r>
      <w:r>
        <w:t xml:space="preserve"> </w:t>
      </w:r>
      <w:r w:rsidR="002065B0">
        <w:rPr>
          <w:rFonts w:ascii="Noor_Titr" w:hAnsi="Noor_Titr" w:cs="B Badr" w:hint="cs"/>
          <w:color w:val="000000" w:themeColor="text1"/>
          <w:rtl/>
        </w:rPr>
        <w:t xml:space="preserve">- </w:t>
      </w:r>
      <w:r w:rsidRPr="00897622">
        <w:rPr>
          <w:rFonts w:ascii="Noor_Titr" w:hAnsi="Noor_Titr" w:cs="B Badr" w:hint="cs"/>
          <w:color w:val="000000" w:themeColor="text1"/>
          <w:rtl/>
        </w:rPr>
        <w:t>ال</w:t>
      </w:r>
      <w:r>
        <w:rPr>
          <w:rFonts w:ascii="Noor_Titr" w:hAnsi="Noor_Titr" w:cs="B Badr" w:hint="cs"/>
          <w:color w:val="000000" w:themeColor="text1"/>
          <w:rtl/>
        </w:rPr>
        <w:t>ک</w:t>
      </w:r>
      <w:r w:rsidRPr="00897622">
        <w:rPr>
          <w:rFonts w:ascii="Noor_Titr" w:hAnsi="Noor_Titr" w:cs="B Badr" w:hint="cs"/>
          <w:color w:val="000000" w:themeColor="text1"/>
          <w:rtl/>
        </w:rPr>
        <w:t>اف</w:t>
      </w:r>
      <w:r>
        <w:rPr>
          <w:rFonts w:ascii="Noor_Titr" w:hAnsi="Noor_Titr" w:cs="B Badr" w:hint="cs"/>
          <w:color w:val="000000" w:themeColor="text1"/>
          <w:rtl/>
        </w:rPr>
        <w:t>ی</w:t>
      </w:r>
      <w:r w:rsidRPr="00897622">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897622">
        <w:rPr>
          <w:rFonts w:ascii="Noor_Titr" w:hAnsi="Noor_Titr" w:cs="B Badr" w:hint="cs"/>
          <w:color w:val="000000" w:themeColor="text1"/>
          <w:rtl/>
        </w:rPr>
        <w:t xml:space="preserve">ة)؛ </w:t>
      </w:r>
      <w:r>
        <w:rPr>
          <w:rFonts w:ascii="Noor_Titr" w:hAnsi="Noor_Titr" w:cs="B Badr"/>
          <w:color w:val="000000" w:themeColor="text1"/>
          <w:rtl/>
        </w:rPr>
        <w:t>ج 7</w:t>
      </w:r>
      <w:r w:rsidRPr="00897622">
        <w:rPr>
          <w:rFonts w:ascii="Noor_Titr" w:hAnsi="Noor_Titr" w:cs="B Badr" w:hint="cs"/>
          <w:color w:val="000000" w:themeColor="text1"/>
          <w:rtl/>
        </w:rPr>
        <w:t>، ص: 256</w:t>
      </w:r>
      <w:r w:rsidR="002065B0">
        <w:rPr>
          <w:rFonts w:hint="cs"/>
          <w:rtl/>
        </w:rPr>
        <w:t>.</w:t>
      </w:r>
    </w:p>
  </w:footnote>
  <w:footnote w:id="2">
    <w:p w:rsidR="00B709FE" w:rsidRDefault="00B709FE" w:rsidP="00B709FE">
      <w:pPr>
        <w:pStyle w:val="FootnoteText"/>
        <w:rPr>
          <w:rtl/>
        </w:rPr>
      </w:pPr>
      <w:r>
        <w:rPr>
          <w:rStyle w:val="FootnoteReference"/>
        </w:rPr>
        <w:footnoteRef/>
      </w:r>
      <w:r>
        <w:t xml:space="preserve"> </w:t>
      </w:r>
      <w:r w:rsidR="002065B0">
        <w:rPr>
          <w:rFonts w:ascii="Noor_Titr" w:hAnsi="Noor_Titr" w:cs="B Badr" w:hint="cs"/>
          <w:color w:val="000000" w:themeColor="text1"/>
          <w:rtl/>
        </w:rPr>
        <w:t xml:space="preserve">- </w:t>
      </w:r>
      <w:r w:rsidRPr="00897622">
        <w:rPr>
          <w:rFonts w:ascii="Noor_Titr" w:hAnsi="Noor_Titr" w:cs="B Badr" w:hint="cs"/>
          <w:color w:val="000000" w:themeColor="text1"/>
          <w:rtl/>
        </w:rPr>
        <w:t>ال</w:t>
      </w:r>
      <w:r>
        <w:rPr>
          <w:rFonts w:ascii="Noor_Titr" w:hAnsi="Noor_Titr" w:cs="B Badr" w:hint="cs"/>
          <w:color w:val="000000" w:themeColor="text1"/>
          <w:rtl/>
        </w:rPr>
        <w:t>ک</w:t>
      </w:r>
      <w:r w:rsidRPr="00897622">
        <w:rPr>
          <w:rFonts w:ascii="Noor_Titr" w:hAnsi="Noor_Titr" w:cs="B Badr" w:hint="cs"/>
          <w:color w:val="000000" w:themeColor="text1"/>
          <w:rtl/>
        </w:rPr>
        <w:t>اف</w:t>
      </w:r>
      <w:r>
        <w:rPr>
          <w:rFonts w:ascii="Noor_Titr" w:hAnsi="Noor_Titr" w:cs="B Badr" w:hint="cs"/>
          <w:color w:val="000000" w:themeColor="text1"/>
          <w:rtl/>
        </w:rPr>
        <w:t>ی</w:t>
      </w:r>
      <w:r w:rsidRPr="00897622">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897622">
        <w:rPr>
          <w:rFonts w:ascii="Noor_Titr" w:hAnsi="Noor_Titr" w:cs="B Badr" w:hint="cs"/>
          <w:color w:val="000000" w:themeColor="text1"/>
          <w:rtl/>
        </w:rPr>
        <w:t xml:space="preserve">ة)؛ </w:t>
      </w:r>
      <w:r>
        <w:rPr>
          <w:rFonts w:ascii="Noor_Titr" w:hAnsi="Noor_Titr" w:cs="B Badr"/>
          <w:color w:val="000000" w:themeColor="text1"/>
          <w:rtl/>
        </w:rPr>
        <w:t>ج 7</w:t>
      </w:r>
      <w:r w:rsidRPr="00897622">
        <w:rPr>
          <w:rFonts w:ascii="Noor_Titr" w:hAnsi="Noor_Titr" w:cs="B Badr" w:hint="cs"/>
          <w:color w:val="000000" w:themeColor="text1"/>
          <w:rtl/>
        </w:rPr>
        <w:t>، ص: 257</w:t>
      </w:r>
      <w:r w:rsidR="002065B0">
        <w:rPr>
          <w:rFonts w:hint="cs"/>
          <w:rtl/>
        </w:rPr>
        <w:t>.</w:t>
      </w:r>
    </w:p>
  </w:footnote>
  <w:footnote w:id="3">
    <w:p w:rsidR="00B709FE" w:rsidRDefault="00B709FE" w:rsidP="00B709FE">
      <w:pPr>
        <w:pStyle w:val="FootnoteText"/>
        <w:rPr>
          <w:rtl/>
        </w:rPr>
      </w:pPr>
      <w:r>
        <w:rPr>
          <w:rStyle w:val="FootnoteReference"/>
        </w:rPr>
        <w:footnoteRef/>
      </w:r>
      <w:r>
        <w:t xml:space="preserve"> </w:t>
      </w:r>
      <w:r w:rsidR="002065B0">
        <w:rPr>
          <w:rFonts w:ascii="Noor_Titr" w:hAnsi="Noor_Titr" w:cs="B Badr" w:hint="cs"/>
          <w:color w:val="000000" w:themeColor="text1"/>
          <w:rtl/>
        </w:rPr>
        <w:t xml:space="preserve">- </w:t>
      </w:r>
      <w:r w:rsidRPr="004175D5">
        <w:rPr>
          <w:rFonts w:ascii="Noor_Titr" w:hAnsi="Noor_Titr" w:cs="B Badr" w:hint="cs"/>
          <w:color w:val="000000" w:themeColor="text1"/>
          <w:rtl/>
        </w:rPr>
        <w:t>نهج البلاغة، ص: 495‌</w:t>
      </w:r>
      <w:r w:rsidR="002065B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709FE">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A78C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709FE">
      <w:rPr>
        <w:rFonts w:ascii="IranNastaliq" w:hAnsi="IranNastaliq" w:cs="IranNastaliq" w:hint="cs"/>
        <w:sz w:val="40"/>
        <w:szCs w:val="40"/>
        <w:rtl/>
        <w:lang w:bidi="fa-IR"/>
      </w:rPr>
      <w:t>934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469D"/>
    <w:rsid w:val="0013617D"/>
    <w:rsid w:val="00136442"/>
    <w:rsid w:val="00150D4B"/>
    <w:rsid w:val="00152670"/>
    <w:rsid w:val="00166DD8"/>
    <w:rsid w:val="001712D6"/>
    <w:rsid w:val="001757C8"/>
    <w:rsid w:val="00177934"/>
    <w:rsid w:val="00192A6A"/>
    <w:rsid w:val="00197CDD"/>
    <w:rsid w:val="001A7D89"/>
    <w:rsid w:val="001C367D"/>
    <w:rsid w:val="001D24F8"/>
    <w:rsid w:val="001D542D"/>
    <w:rsid w:val="001E306E"/>
    <w:rsid w:val="001E3FB0"/>
    <w:rsid w:val="001E4FFF"/>
    <w:rsid w:val="001F2E3E"/>
    <w:rsid w:val="002065B0"/>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B4C26"/>
    <w:rsid w:val="003C06BF"/>
    <w:rsid w:val="003C7899"/>
    <w:rsid w:val="003D2F0A"/>
    <w:rsid w:val="003D563F"/>
    <w:rsid w:val="003E1E58"/>
    <w:rsid w:val="003F1AED"/>
    <w:rsid w:val="00405199"/>
    <w:rsid w:val="00410699"/>
    <w:rsid w:val="00415360"/>
    <w:rsid w:val="0044591E"/>
    <w:rsid w:val="004651D2"/>
    <w:rsid w:val="00465D26"/>
    <w:rsid w:val="004679F8"/>
    <w:rsid w:val="00494DC0"/>
    <w:rsid w:val="00496073"/>
    <w:rsid w:val="004B337F"/>
    <w:rsid w:val="004F3596"/>
    <w:rsid w:val="004F56BA"/>
    <w:rsid w:val="00572E2D"/>
    <w:rsid w:val="00576987"/>
    <w:rsid w:val="00592103"/>
    <w:rsid w:val="005941DD"/>
    <w:rsid w:val="005A2931"/>
    <w:rsid w:val="005A545E"/>
    <w:rsid w:val="005A5862"/>
    <w:rsid w:val="005B0852"/>
    <w:rsid w:val="005B36D6"/>
    <w:rsid w:val="005C06AE"/>
    <w:rsid w:val="005C0D0A"/>
    <w:rsid w:val="00610C18"/>
    <w:rsid w:val="00612385"/>
    <w:rsid w:val="0061376C"/>
    <w:rsid w:val="00636EFA"/>
    <w:rsid w:val="0066229C"/>
    <w:rsid w:val="00675B32"/>
    <w:rsid w:val="0069696C"/>
    <w:rsid w:val="006A085A"/>
    <w:rsid w:val="006A418C"/>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401AC"/>
    <w:rsid w:val="00957A19"/>
    <w:rsid w:val="009613AC"/>
    <w:rsid w:val="00980643"/>
    <w:rsid w:val="009B46BC"/>
    <w:rsid w:val="009B61C3"/>
    <w:rsid w:val="009C7B4F"/>
    <w:rsid w:val="009F4EB3"/>
    <w:rsid w:val="009F7E77"/>
    <w:rsid w:val="00A06D48"/>
    <w:rsid w:val="00A21834"/>
    <w:rsid w:val="00A31C17"/>
    <w:rsid w:val="00A31FDE"/>
    <w:rsid w:val="00A35AC2"/>
    <w:rsid w:val="00A37C77"/>
    <w:rsid w:val="00A45946"/>
    <w:rsid w:val="00A5418D"/>
    <w:rsid w:val="00A725C2"/>
    <w:rsid w:val="00A769EE"/>
    <w:rsid w:val="00A810A5"/>
    <w:rsid w:val="00A9616A"/>
    <w:rsid w:val="00A96F68"/>
    <w:rsid w:val="00AA2342"/>
    <w:rsid w:val="00AD0304"/>
    <w:rsid w:val="00AD278F"/>
    <w:rsid w:val="00AD27BE"/>
    <w:rsid w:val="00AD7C53"/>
    <w:rsid w:val="00AF0F1A"/>
    <w:rsid w:val="00AF6CE9"/>
    <w:rsid w:val="00B14066"/>
    <w:rsid w:val="00B15027"/>
    <w:rsid w:val="00B21CF4"/>
    <w:rsid w:val="00B24300"/>
    <w:rsid w:val="00B4366F"/>
    <w:rsid w:val="00B63F15"/>
    <w:rsid w:val="00B709FE"/>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970E1"/>
    <w:rsid w:val="00CB5DA3"/>
    <w:rsid w:val="00CC0334"/>
    <w:rsid w:val="00CE31E6"/>
    <w:rsid w:val="00CE3B74"/>
    <w:rsid w:val="00CF42E2"/>
    <w:rsid w:val="00CF7916"/>
    <w:rsid w:val="00D158F3"/>
    <w:rsid w:val="00D3665C"/>
    <w:rsid w:val="00D508CC"/>
    <w:rsid w:val="00D50F4B"/>
    <w:rsid w:val="00D60547"/>
    <w:rsid w:val="00D66444"/>
    <w:rsid w:val="00D76353"/>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2B03"/>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AD7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AD7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E5B5-B18F-41B9-A053-A9561A0E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85</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30</cp:revision>
  <dcterms:created xsi:type="dcterms:W3CDTF">2014-12-20T10:23:00Z</dcterms:created>
  <dcterms:modified xsi:type="dcterms:W3CDTF">2015-08-22T04:06:00Z</dcterms:modified>
</cp:coreProperties>
</file>