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9" w:rsidRPr="003C3D1A" w:rsidRDefault="001548E2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3C3D1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C4239" w:rsidRPr="003C3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CC4239" w:rsidRPr="003C3D1A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DC2655" w:rsidRPr="003C3D1A" w:rsidRDefault="00DC2655" w:rsidP="00DC26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C2655" w:rsidRPr="003C3D1A" w:rsidRDefault="00DC2655" w:rsidP="00DC265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3C3D1A">
        <w:rPr>
          <w:rFonts w:ascii="IRBadr" w:hAnsi="IRBadr" w:cs="IRBadr"/>
          <w:sz w:val="28"/>
          <w:rtl/>
        </w:rPr>
        <w:fldChar w:fldCharType="begin"/>
      </w:r>
      <w:r w:rsidRPr="003C3D1A">
        <w:rPr>
          <w:rFonts w:ascii="IRBadr" w:hAnsi="IRBadr" w:cs="IRBadr"/>
          <w:sz w:val="28"/>
          <w:rtl/>
        </w:rPr>
        <w:instrText xml:space="preserve"> </w:instrText>
      </w:r>
      <w:r w:rsidRPr="003C3D1A">
        <w:rPr>
          <w:rFonts w:ascii="IRBadr" w:hAnsi="IRBadr" w:cs="IRBadr"/>
          <w:sz w:val="28"/>
        </w:rPr>
        <w:instrText>TOC</w:instrText>
      </w:r>
      <w:r w:rsidRPr="003C3D1A">
        <w:rPr>
          <w:rFonts w:ascii="IRBadr" w:hAnsi="IRBadr" w:cs="IRBadr"/>
          <w:sz w:val="28"/>
          <w:rtl/>
        </w:rPr>
        <w:instrText xml:space="preserve"> \</w:instrText>
      </w:r>
      <w:r w:rsidRPr="003C3D1A">
        <w:rPr>
          <w:rFonts w:ascii="IRBadr" w:hAnsi="IRBadr" w:cs="IRBadr"/>
          <w:sz w:val="28"/>
        </w:rPr>
        <w:instrText>o "</w:instrText>
      </w:r>
      <w:r w:rsidRPr="003C3D1A">
        <w:rPr>
          <w:rFonts w:ascii="IRBadr" w:hAnsi="IRBadr" w:cs="IRBadr"/>
          <w:sz w:val="28"/>
          <w:rtl/>
        </w:rPr>
        <w:instrText>1-4</w:instrText>
      </w:r>
      <w:r w:rsidRPr="003C3D1A">
        <w:rPr>
          <w:rFonts w:ascii="IRBadr" w:hAnsi="IRBadr" w:cs="IRBadr"/>
          <w:sz w:val="28"/>
        </w:rPr>
        <w:instrText>" \h \z \u</w:instrText>
      </w:r>
      <w:r w:rsidRPr="003C3D1A">
        <w:rPr>
          <w:rFonts w:ascii="IRBadr" w:hAnsi="IRBadr" w:cs="IRBadr"/>
          <w:sz w:val="28"/>
          <w:rtl/>
        </w:rPr>
        <w:instrText xml:space="preserve"> </w:instrText>
      </w:r>
      <w:r w:rsidRPr="003C3D1A">
        <w:rPr>
          <w:rFonts w:ascii="IRBadr" w:hAnsi="IRBadr" w:cs="IRBadr"/>
          <w:sz w:val="28"/>
          <w:rtl/>
        </w:rPr>
        <w:fldChar w:fldCharType="separate"/>
      </w:r>
      <w:hyperlink w:anchor="_Toc427990902" w:history="1">
        <w:r w:rsidRPr="003C3D1A">
          <w:rPr>
            <w:rStyle w:val="Hyperlink"/>
            <w:rFonts w:ascii="IRBadr" w:hAnsi="IRBadr" w:cs="IRBadr"/>
            <w:noProof/>
            <w:rtl/>
          </w:rPr>
          <w:t>حد مرتد</w:t>
        </w:r>
        <w:r w:rsidRPr="003C3D1A">
          <w:rPr>
            <w:rFonts w:ascii="IRBadr" w:hAnsi="IRBadr" w:cs="IRBadr"/>
            <w:noProof/>
            <w:webHidden/>
          </w:rPr>
          <w:tab/>
        </w:r>
        <w:r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3C3D1A">
          <w:rPr>
            <w:rFonts w:ascii="IRBadr" w:hAnsi="IRBadr" w:cs="IRBadr"/>
            <w:noProof/>
            <w:webHidden/>
          </w:rPr>
          <w:instrText xml:space="preserve"> PAGEREF _Toc427990902 \h </w:instrText>
        </w:r>
        <w:r w:rsidRPr="003C3D1A">
          <w:rPr>
            <w:rStyle w:val="Hyperlink"/>
            <w:rFonts w:ascii="IRBadr" w:hAnsi="IRBadr" w:cs="IRBadr"/>
            <w:noProof/>
            <w:rtl/>
          </w:rPr>
        </w:r>
        <w:r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3C3D1A">
          <w:rPr>
            <w:rFonts w:ascii="IRBadr" w:hAnsi="IRBadr" w:cs="IRBadr"/>
            <w:noProof/>
            <w:webHidden/>
          </w:rPr>
          <w:t>1</w:t>
        </w:r>
        <w:r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3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حکم ارتداد زن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_Toc427990903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1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4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اقوال عامه در این مسئله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_Toc427990904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2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5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_Toc427990905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2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6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طایفه اول روایات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_Toc427990906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2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7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روایت اول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_Toc427990907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2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8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روایت دوم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_Toc427990908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2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09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روایت سوم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_Toc427990909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3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10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_Toc427990910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3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11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مستند قول مخالف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_Toc427990911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3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12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مناقشه در روایت فوق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_Toc427990912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4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0913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تحلیل دیگری از این روایت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_Toc427990913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4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C726A4" w:rsidP="00DC265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990914" w:history="1">
        <w:r w:rsidR="00DC2655" w:rsidRPr="003C3D1A">
          <w:rPr>
            <w:rStyle w:val="Hyperlink"/>
            <w:rFonts w:ascii="IRBadr" w:hAnsi="IRBadr" w:cs="IRBadr"/>
            <w:noProof/>
            <w:rtl/>
          </w:rPr>
          <w:t>توبه زن مرتد</w:t>
        </w:r>
        <w:r w:rsidR="00DC2655" w:rsidRPr="003C3D1A">
          <w:rPr>
            <w:rFonts w:ascii="IRBadr" w:hAnsi="IRBadr" w:cs="IRBadr"/>
            <w:noProof/>
            <w:webHidden/>
          </w:rPr>
          <w:tab/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2655" w:rsidRPr="003C3D1A">
          <w:rPr>
            <w:rFonts w:ascii="IRBadr" w:hAnsi="IRBadr" w:cs="IRBadr"/>
            <w:noProof/>
            <w:webHidden/>
          </w:rPr>
          <w:instrText xml:space="preserve"> PAGEREF _Toc427990914 \h </w:instrText>
        </w:r>
        <w:r w:rsidR="00DC2655" w:rsidRPr="003C3D1A">
          <w:rPr>
            <w:rStyle w:val="Hyperlink"/>
            <w:rFonts w:ascii="IRBadr" w:hAnsi="IRBadr" w:cs="IRBadr"/>
            <w:noProof/>
            <w:rtl/>
          </w:rPr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2655" w:rsidRPr="003C3D1A">
          <w:rPr>
            <w:rFonts w:ascii="IRBadr" w:hAnsi="IRBadr" w:cs="IRBadr"/>
            <w:noProof/>
            <w:webHidden/>
          </w:rPr>
          <w:t>5</w:t>
        </w:r>
        <w:r w:rsidR="00DC2655" w:rsidRPr="003C3D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2655" w:rsidRPr="003C3D1A" w:rsidRDefault="00DC2655" w:rsidP="00DC265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C3D1A" w:rsidRDefault="003C3D1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990902"/>
      <w:r>
        <w:rPr>
          <w:rFonts w:ascii="IRBadr" w:hAnsi="IRBadr" w:cs="IRBadr"/>
          <w:rtl/>
        </w:rPr>
        <w:br w:type="page"/>
      </w:r>
    </w:p>
    <w:p w:rsidR="00CC4239" w:rsidRPr="003C3D1A" w:rsidRDefault="00CC4239" w:rsidP="001548E2">
      <w:pPr>
        <w:pStyle w:val="Heading1"/>
        <w:rPr>
          <w:rFonts w:ascii="IRBadr" w:hAnsi="IRBadr" w:cs="IRBadr"/>
          <w:rtl/>
        </w:rPr>
      </w:pPr>
      <w:r w:rsidRPr="003C3D1A">
        <w:rPr>
          <w:rFonts w:ascii="IRBadr" w:hAnsi="IRBadr" w:cs="IRBadr"/>
          <w:rtl/>
        </w:rPr>
        <w:lastRenderedPageBreak/>
        <w:t>حد مرتد</w:t>
      </w:r>
      <w:bookmarkEnd w:id="1"/>
    </w:p>
    <w:p w:rsidR="00CC4239" w:rsidRPr="003C3D1A" w:rsidRDefault="00CC4239" w:rsidP="001548E2">
      <w:pPr>
        <w:pStyle w:val="Heading1"/>
        <w:rPr>
          <w:rFonts w:ascii="IRBadr" w:hAnsi="IRBadr" w:cs="IRBadr"/>
          <w:rtl/>
        </w:rPr>
      </w:pPr>
      <w:bookmarkStart w:id="2" w:name="_Toc427990903"/>
      <w:r w:rsidRPr="003C3D1A">
        <w:rPr>
          <w:rFonts w:ascii="IRBadr" w:hAnsi="IRBadr" w:cs="IRBadr"/>
          <w:rtl/>
        </w:rPr>
        <w:t>حکم ارتداد زن</w:t>
      </w:r>
      <w:bookmarkEnd w:id="2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در قبال حکم ارتداد زن نیز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وجود دارد،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همان‌طور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در مرتد فطری در میان عامه و خاصه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اختلاف‌نظر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وجود داشت،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قبال حکم زن نیز این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به چشم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اتفاق شیعه بر این است که حکم زن مرتد قتل نیست،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با حبس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بر او سخت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می‌گیرند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تا توبه کند.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زمانی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توبه کرد نیز توبه او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واقع خواهد شد.</w:t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این حکم متفق میان شیعه است،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احتمالات دیگر در این زمینه در مسالک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است ولی به میزان قول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نمی‌رسد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C4239" w:rsidRPr="003C3D1A" w:rsidRDefault="00CC4239" w:rsidP="001548E2">
      <w:pPr>
        <w:pStyle w:val="Heading1"/>
        <w:rPr>
          <w:rFonts w:ascii="IRBadr" w:hAnsi="IRBadr" w:cs="IRBadr"/>
          <w:rtl/>
        </w:rPr>
      </w:pPr>
      <w:bookmarkStart w:id="3" w:name="_Toc427990904"/>
      <w:r w:rsidRPr="003C3D1A">
        <w:rPr>
          <w:rFonts w:ascii="IRBadr" w:hAnsi="IRBadr" w:cs="IRBadr"/>
          <w:rtl/>
        </w:rPr>
        <w:t xml:space="preserve">اقوال عامه در این </w:t>
      </w:r>
      <w:r w:rsidR="001548E2" w:rsidRPr="003C3D1A">
        <w:rPr>
          <w:rFonts w:ascii="IRBadr" w:hAnsi="IRBadr" w:cs="IRBadr"/>
          <w:rtl/>
        </w:rPr>
        <w:t>مسئله</w:t>
      </w:r>
      <w:bookmarkEnd w:id="3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اما در میان عامه در این باب سه نظریه وجود دارد؛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مشهور در میان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این است که زن نیز حکم مرد را دارد،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برای مرد در قبال ملی و فطری فرقی قائل نبودند.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زن وقتی مرتد شد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امه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درخواهد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آمد.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نظر سوم بر این مبناست که در فقه شیعه در این زمینه مورد اتفاق است،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نظریه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سوم در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میان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از آن ابی حنیفه است.</w:t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4" w:name="_Toc427990905"/>
      <w:r w:rsidRPr="003C3D1A">
        <w:rPr>
          <w:rFonts w:ascii="IRBadr" w:hAnsi="IRBadr" w:cs="IRBadr"/>
          <w:rtl/>
        </w:rPr>
        <w:t>مستندات بحث</w:t>
      </w:r>
      <w:bookmarkEnd w:id="4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روایات مربوط به زن در جلد هیجده، ابواب حد مرتد،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باب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چهار،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549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این روایات از یک منظر کلی به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دودسته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تقسیم می‌شود، یک طایفه روایاتی است که قتل را نفی کرده و حکم را همان حبس بیان نموده است. در مقابل این روایات نیز روایتی قائل به قتل شده است.</w:t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5" w:name="_Toc427990906"/>
      <w:r w:rsidRPr="003C3D1A">
        <w:rPr>
          <w:rFonts w:ascii="IRBadr" w:hAnsi="IRBadr" w:cs="IRBadr"/>
          <w:rtl/>
        </w:rPr>
        <w:t>طایفه اول روایات</w:t>
      </w:r>
      <w:bookmarkEnd w:id="5"/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6" w:name="_Toc427990907"/>
      <w:r w:rsidRPr="003C3D1A">
        <w:rPr>
          <w:rFonts w:ascii="IRBadr" w:hAnsi="IRBadr" w:cs="IRBadr"/>
          <w:rtl/>
        </w:rPr>
        <w:t>روایت اول</w:t>
      </w:r>
      <w:bookmarkEnd w:id="6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این روایت کاملاً معتبر است؛</w:t>
      </w:r>
    </w:p>
    <w:p w:rsidR="00CC4239" w:rsidRPr="003C3D1A" w:rsidRDefault="00CC4239" w:rsidP="001548E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«عَنْهُ عَنْ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عْقُوبَ بْنِ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 عَنِ ابْنِ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حَمَّادٍ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الْمُرْتَدَّةِ عَنِ الْإِسْلَامِ قَالَ لَا تُقْتَلُ وَ تُسْتَخْدَمُ خِدْمَةً شَدِ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دَةً وَ تُمْنَعُ الطَّعَامَ وَ الشَّرَابَ إِلَّا مَا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مْسِ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نفس‌ها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تُلْبَسُ خَشِنَ الثِّ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ابِ وَ تُضْرَبُ عَلَ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الصَّلَوَاتِ.» 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در این روایت هرچند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به‌صراحت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از حبس سخن گفته نشده است اما احکامی که در روایت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نشان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مراد همین است.</w:t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7" w:name="_Toc427990908"/>
      <w:r w:rsidRPr="003C3D1A">
        <w:rPr>
          <w:rFonts w:ascii="IRBadr" w:hAnsi="IRBadr" w:cs="IRBadr"/>
          <w:rtl/>
        </w:rPr>
        <w:t>روایت دوم</w:t>
      </w:r>
      <w:bookmarkEnd w:id="7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این روایت ظاهراً روایت معتبری است؛</w:t>
      </w:r>
    </w:p>
    <w:p w:rsidR="00CC4239" w:rsidRPr="003C3D1A" w:rsidRDefault="00CC4239" w:rsidP="001548E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«مَا رَوَاهُ مُحَمَّدُ بْنُ عَلِ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مَحْبُوبٍ عَنْ مُحَمَّدِ بْنِ الْحُسَ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عَنْ مُحَمَّدِ بْنِ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الْخَزَّازِ عَنْ غِ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اثِ بْنِ إِبْرَاهِ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جَعْفَرٍ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عَلِ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قَالَ: إِذَا ارْتَدَّتِ الْمَرْأَةُ عَنِ الْإِسْلَامِ لَمْ تُقْتَلْ وَ 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تُحْبَسُ أَبَداً.»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8" w:name="_Toc427990909"/>
      <w:r w:rsidRPr="003C3D1A">
        <w:rPr>
          <w:rFonts w:ascii="IRBadr" w:hAnsi="IRBadr" w:cs="IRBadr"/>
          <w:rtl/>
        </w:rPr>
        <w:t>روایت سوم</w:t>
      </w:r>
      <w:bookmarkEnd w:id="8"/>
    </w:p>
    <w:p w:rsidR="00CC4239" w:rsidRPr="003C3D1A" w:rsidRDefault="00CC4239" w:rsidP="001548E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بَعْضِ أَصْحَابِهِ عَنْ حَمَّادٍ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لَا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خَلَّدُ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إِلَّا ثَلَاثَةٌ الَّذِ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مَثِّلُ وَ الْمَرْأَةُ تَرْتَدُّ عَنِ الْإِسْلَامِ وَ السَّارِقُ بَعْدَ قَطْعِ الْ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 وَ الرِّجْلِ.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9" w:name="_Toc427990910"/>
      <w:r w:rsidRPr="003C3D1A">
        <w:rPr>
          <w:rFonts w:ascii="IRBadr" w:hAnsi="IRBadr" w:cs="IRBadr"/>
          <w:rtl/>
        </w:rPr>
        <w:t>روایت چهارم</w:t>
      </w:r>
      <w:bookmarkEnd w:id="9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روایت چهارم هم همین را می‌رساند که؛</w:t>
      </w:r>
    </w:p>
    <w:p w:rsidR="00CC4239" w:rsidRPr="003C3D1A" w:rsidRDefault="00CC4239" w:rsidP="001548E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ابْنِ مَحْبُوبٍ عَنْ غَ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وَاحِدٍ مِنْ أَصْحَابِنَا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وَ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الْمُرْتَدِّ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سْتَتَابُ فَإِنْ تَابَ وَ إِلَّا قُتِلَ وَ الْمَرْأَةِ إِذَا ارْتَدَّتْ عَنِ الْإِسْلَامِ اسْتُتِ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بَتْ فَإِنْ تَابَتْ وَ رَجَعَتْ وَ إِلَّا خُلِّدَتْ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السِّجْنِ وَ ضُ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 عَلَ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حبس‌ها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.» 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10" w:name="_Toc427990911"/>
      <w:r w:rsidRPr="003C3D1A">
        <w:rPr>
          <w:rFonts w:ascii="IRBadr" w:hAnsi="IRBadr" w:cs="IRBadr"/>
          <w:rtl/>
        </w:rPr>
        <w:lastRenderedPageBreak/>
        <w:t>مستند قول مخالف</w:t>
      </w:r>
      <w:bookmarkEnd w:id="10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>این روایت سند معتبری دارد؛</w:t>
      </w:r>
    </w:p>
    <w:p w:rsidR="00CC4239" w:rsidRPr="003C3D1A" w:rsidRDefault="00CC4239" w:rsidP="001548E2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«الْحُسَ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نُ بْنُ سَعِ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عَنِ النَّضْرِ بْنِ سُوَ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عَاصِمِ بْنِ حُمَ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عَنْ مُحَمَّدِ بْنِ قَ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عَنْ أَبِ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قَضَ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أَمِ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رُ الْمُؤْمِنِ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ع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وَلِ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دَةٍ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انَتْ نَصْرَانِ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ةَ فَأَسْلَمَتْ وَ وَلَدَتْ لِسَ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دِهَا ثُمَّ إِنَّ سَ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دَهَا مَاتَ وَ أَوْصَ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بِهَا عَتَاقَةَ السُّرِّ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ةِ عَلَ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عَهْدِ عُمَرَ فَنَ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حَتْ نَصْرَانِ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اً دَ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رَانِ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اً فَتَنَصَّرَتْ فَوَلَدَتْ مِنْهُ وَلَدَ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وَ حَبِلَتْ بِالثَّالِثِ قَالَ قَضَ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عْرَضَ عَلَ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الْإِسْلَامُ فَعُرِضَ عَلَ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فَأَبَتْ فَقَالَ مَا وَلَدَتْ مِنْ وَلَدٍ نَصْرَانِ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فَهُمْ عَبِ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دٌ لِأَخِ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هِمُ الَّذِ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وَلَدَتْ لِسَ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دِهَا الْأَوَّلِ وَ أَنَا أَحْبِسُهَا حَتَّ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تَضَعَ وَلَدَهَا الَّذِ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بطن‌ها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فَإِذَا وَلَدَتْ قَتَلْتُهَا.»</w:t>
      </w:r>
      <w:r w:rsidRPr="003C3D1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روایت در قبال زنی است که نصرانی بود و بعد مسلمان شد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کنیز مرد مسلمانی شد و از صاحب خود،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دارای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فرزند شد،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نصرانی مسلمان شد سپس مولایش فوت کرد و وصیت به عتق او نمود.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پس‌ازاینکه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آزاد شد با فردی نصرانی ازدواج نمود و مرتد شد.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از آن فرد نیز صاحب دو فرزند شد.</w:t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این روایت دلالت می‌کند بر اینکه زنی که ارتداد پیدا کند، حکمش قتل است. در اینجا حضرت حکم حبس را برای زمانی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قراردادند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او حامله بوده است </w:t>
      </w:r>
      <w:r w:rsidR="003C3D1A">
        <w:rPr>
          <w:rFonts w:ascii="IRBadr" w:hAnsi="IRBadr" w:cs="IRBadr"/>
          <w:sz w:val="28"/>
          <w:szCs w:val="28"/>
          <w:rtl/>
          <w:lang w:bidi="fa-IR"/>
        </w:rPr>
        <w:t>تا زمانی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فرزندش را به دنیا آورد و کشته شود.</w:t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11" w:name="_Toc427990912"/>
      <w:r w:rsidRPr="003C3D1A">
        <w:rPr>
          <w:rFonts w:ascii="IRBadr" w:hAnsi="IRBadr" w:cs="IRBadr"/>
          <w:rtl/>
        </w:rPr>
        <w:t>مناقشه در روایت فوق</w:t>
      </w:r>
      <w:bookmarkEnd w:id="11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این روایت مورد اعراض همه فقها بوده و علت این اعراض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به اینکه؛</w:t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حکمی را دربر دارد که فرزندان بعدی او عبد فرزند اول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بدان قائل نشده است.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بر اینکه قاعده درع نیز خلاف این را اقتضا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فرض تعارض نیز روی مبنای هرکدام از فقها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بدین روایت تکیه نمود.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در اینجا موافقت کتاب را نداریم و این روایت در مقابل شهرت است.</w:t>
      </w:r>
    </w:p>
    <w:p w:rsidR="00CC4239" w:rsidRPr="003C3D1A" w:rsidRDefault="00CC4239" w:rsidP="001548E2">
      <w:pPr>
        <w:pStyle w:val="Heading2"/>
        <w:rPr>
          <w:rFonts w:ascii="IRBadr" w:hAnsi="IRBadr" w:cs="IRBadr"/>
          <w:rtl/>
        </w:rPr>
      </w:pPr>
      <w:bookmarkStart w:id="12" w:name="_Toc427990913"/>
      <w:r w:rsidRPr="003C3D1A">
        <w:rPr>
          <w:rFonts w:ascii="IRBadr" w:hAnsi="IRBadr" w:cs="IRBadr"/>
          <w:rtl/>
        </w:rPr>
        <w:lastRenderedPageBreak/>
        <w:t>تحلیل دیگری از این روایت</w:t>
      </w:r>
      <w:bookmarkEnd w:id="12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برخی روایت را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توجیه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که چون فرد بعد از ارتداد با فردی نصرانی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ازدواج‌کرده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است لذا قتل به خاطر این زنای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حصنه است.</w:t>
      </w:r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این توجیهی که مرحوم شیخ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آورده‌اند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ظاهر روایت است چراکه طبق ظاهر آن،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قتل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به خاطر ارتداد بوده است.</w:t>
      </w:r>
    </w:p>
    <w:p w:rsidR="00CC4239" w:rsidRPr="003C3D1A" w:rsidRDefault="001548E2" w:rsidP="001548E2">
      <w:pPr>
        <w:pStyle w:val="Heading3"/>
        <w:rPr>
          <w:rFonts w:ascii="IRBadr" w:hAnsi="IRBadr" w:cs="IRBadr"/>
          <w:rtl/>
        </w:rPr>
      </w:pPr>
      <w:bookmarkStart w:id="13" w:name="_Toc427990914"/>
      <w:r w:rsidRPr="003C3D1A">
        <w:rPr>
          <w:rFonts w:ascii="IRBadr" w:hAnsi="IRBadr" w:cs="IRBadr"/>
          <w:rtl/>
        </w:rPr>
        <w:t>توبه زن مر</w:t>
      </w:r>
      <w:r w:rsidR="00CC4239" w:rsidRPr="003C3D1A">
        <w:rPr>
          <w:rFonts w:ascii="IRBadr" w:hAnsi="IRBadr" w:cs="IRBadr"/>
          <w:rtl/>
        </w:rPr>
        <w:t>تد</w:t>
      </w:r>
      <w:bookmarkEnd w:id="13"/>
    </w:p>
    <w:p w:rsidR="00CC4239" w:rsidRPr="003C3D1A" w:rsidRDefault="00CC4239" w:rsidP="001548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برخی از روایات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به توبه کردن زنی که مرتد است،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نپرداخته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بودند و در قبال آن ساکت بودند،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در چند روایت از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فرموده شده بود که اگر زن مطلقاً توبه کند چه فطری و چه ملی توبه او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واقع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.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ظاهر امر این است که اگر این ادله خاصه نیز در اینجا وجود نداشت،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توجه به ادله توبه،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 xml:space="preserve"> توبه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 xml:space="preserve"> واقع </w:t>
      </w:r>
      <w:r w:rsidR="001548E2" w:rsidRPr="003C3D1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C3D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C4239" w:rsidRPr="003C3D1A" w:rsidRDefault="00CC4239" w:rsidP="00CC423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C4239" w:rsidRPr="003C3D1A" w:rsidRDefault="00CC4239" w:rsidP="00CC423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3C3D1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3C3D1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4" w:rsidRDefault="00C726A4" w:rsidP="000D5800">
      <w:pPr>
        <w:spacing w:after="0" w:line="240" w:lineRule="auto"/>
      </w:pPr>
      <w:r>
        <w:separator/>
      </w:r>
    </w:p>
  </w:endnote>
  <w:endnote w:type="continuationSeparator" w:id="0">
    <w:p w:rsidR="00C726A4" w:rsidRDefault="00C726A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4" w:rsidRDefault="00C726A4" w:rsidP="004D4042">
      <w:pPr>
        <w:bidi/>
        <w:spacing w:after="0" w:line="240" w:lineRule="auto"/>
      </w:pPr>
      <w:r>
        <w:separator/>
      </w:r>
    </w:p>
  </w:footnote>
  <w:footnote w:type="continuationSeparator" w:id="0">
    <w:p w:rsidR="00C726A4" w:rsidRDefault="00C726A4" w:rsidP="000D5800">
      <w:pPr>
        <w:spacing w:after="0" w:line="240" w:lineRule="auto"/>
      </w:pPr>
      <w:r>
        <w:continuationSeparator/>
      </w:r>
    </w:p>
  </w:footnote>
  <w:footnote w:id="1">
    <w:p w:rsidR="00CC4239" w:rsidRDefault="00CC4239" w:rsidP="00CC423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F70D1">
        <w:rPr>
          <w:rFonts w:ascii="Noor_Titr" w:hAnsi="Noor_Titr" w:cs="B Badr" w:hint="cs"/>
          <w:color w:val="000000" w:themeColor="text1"/>
          <w:rtl/>
        </w:rPr>
        <w:t>تهذ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EF70D1">
        <w:rPr>
          <w:rFonts w:ascii="Noor_Titr" w:hAnsi="Noor_Titr" w:cs="B Badr" w:hint="cs"/>
          <w:color w:val="000000" w:themeColor="text1"/>
          <w:rtl/>
        </w:rPr>
        <w:t>ب الأح</w:t>
      </w:r>
      <w:r w:rsidR="001548E2">
        <w:rPr>
          <w:rFonts w:ascii="Noor_Titr" w:hAnsi="Noor_Titr" w:cs="B Badr" w:hint="cs"/>
          <w:color w:val="000000" w:themeColor="text1"/>
          <w:rtl/>
        </w:rPr>
        <w:t>ک</w:t>
      </w:r>
      <w:r w:rsidRPr="00EF70D1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1548E2">
        <w:rPr>
          <w:rFonts w:ascii="Noor_Titr" w:hAnsi="Noor_Titr" w:cs="B Badr"/>
          <w:color w:val="000000" w:themeColor="text1"/>
          <w:rtl/>
        </w:rPr>
        <w:t>ج 10</w:t>
      </w:r>
      <w:r w:rsidRPr="00EF70D1">
        <w:rPr>
          <w:rFonts w:ascii="Noor_Titr" w:hAnsi="Noor_Titr" w:cs="B Badr" w:hint="cs"/>
          <w:color w:val="000000" w:themeColor="text1"/>
          <w:rtl/>
        </w:rPr>
        <w:t>، ص: 143</w:t>
      </w:r>
    </w:p>
  </w:footnote>
  <w:footnote w:id="2">
    <w:p w:rsidR="00CC4239" w:rsidRDefault="00CC4239" w:rsidP="00CC423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F70D1">
        <w:rPr>
          <w:rFonts w:ascii="Noor_Titr" w:hAnsi="Noor_Titr" w:cs="B Badr" w:hint="cs"/>
          <w:color w:val="000000" w:themeColor="text1"/>
          <w:rtl/>
        </w:rPr>
        <w:t>الاستبصار ف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EF70D1"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1548E2">
        <w:rPr>
          <w:rFonts w:ascii="Noor_Titr" w:hAnsi="Noor_Titr" w:cs="B Badr"/>
          <w:color w:val="000000" w:themeColor="text1"/>
          <w:rtl/>
        </w:rPr>
        <w:t>ج 4</w:t>
      </w:r>
      <w:r w:rsidRPr="00EF70D1">
        <w:rPr>
          <w:rFonts w:ascii="Noor_Titr" w:hAnsi="Noor_Titr" w:cs="B Badr" w:hint="cs"/>
          <w:color w:val="000000" w:themeColor="text1"/>
          <w:rtl/>
        </w:rPr>
        <w:t>، ص: 255</w:t>
      </w:r>
    </w:p>
  </w:footnote>
  <w:footnote w:id="3">
    <w:p w:rsidR="00CC4239" w:rsidRDefault="00CC4239" w:rsidP="00CC423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F70D1">
        <w:rPr>
          <w:rFonts w:ascii="Noor_Titr" w:hAnsi="Noor_Titr" w:cs="B Badr" w:hint="cs"/>
          <w:color w:val="000000" w:themeColor="text1"/>
          <w:rtl/>
        </w:rPr>
        <w:t>ال</w:t>
      </w:r>
      <w:r w:rsidR="001548E2">
        <w:rPr>
          <w:rFonts w:ascii="Noor_Titr" w:hAnsi="Noor_Titr" w:cs="B Badr" w:hint="cs"/>
          <w:color w:val="000000" w:themeColor="text1"/>
          <w:rtl/>
        </w:rPr>
        <w:t>ک</w:t>
      </w:r>
      <w:r w:rsidRPr="00EF70D1">
        <w:rPr>
          <w:rFonts w:ascii="Noor_Titr" w:hAnsi="Noor_Titr" w:cs="B Badr" w:hint="cs"/>
          <w:color w:val="000000" w:themeColor="text1"/>
          <w:rtl/>
        </w:rPr>
        <w:t>اف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EF70D1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EF70D1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548E2">
        <w:rPr>
          <w:rFonts w:ascii="Noor_Titr" w:hAnsi="Noor_Titr" w:cs="B Badr"/>
          <w:color w:val="000000" w:themeColor="text1"/>
          <w:rtl/>
        </w:rPr>
        <w:t>ج 7</w:t>
      </w:r>
      <w:r w:rsidRPr="00EF70D1">
        <w:rPr>
          <w:rFonts w:ascii="Noor_Titr" w:hAnsi="Noor_Titr" w:cs="B Badr" w:hint="cs"/>
          <w:color w:val="000000" w:themeColor="text1"/>
          <w:rtl/>
        </w:rPr>
        <w:t>، ص: 270</w:t>
      </w:r>
    </w:p>
  </w:footnote>
  <w:footnote w:id="4">
    <w:p w:rsidR="00CC4239" w:rsidRDefault="00CC4239" w:rsidP="00CC423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72656">
        <w:rPr>
          <w:rFonts w:ascii="Noor_Titr" w:hAnsi="Noor_Titr" w:cs="B Badr" w:hint="cs"/>
          <w:color w:val="000000" w:themeColor="text1"/>
          <w:rtl/>
        </w:rPr>
        <w:t>ال</w:t>
      </w:r>
      <w:r w:rsidR="001548E2">
        <w:rPr>
          <w:rFonts w:ascii="Noor_Titr" w:hAnsi="Noor_Titr" w:cs="B Badr" w:hint="cs"/>
          <w:color w:val="000000" w:themeColor="text1"/>
          <w:rtl/>
        </w:rPr>
        <w:t>ک</w:t>
      </w:r>
      <w:r w:rsidRPr="00872656">
        <w:rPr>
          <w:rFonts w:ascii="Noor_Titr" w:hAnsi="Noor_Titr" w:cs="B Badr" w:hint="cs"/>
          <w:color w:val="000000" w:themeColor="text1"/>
          <w:rtl/>
        </w:rPr>
        <w:t>اف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872656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872656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548E2">
        <w:rPr>
          <w:rFonts w:ascii="Noor_Titr" w:hAnsi="Noor_Titr" w:cs="B Badr"/>
          <w:color w:val="000000" w:themeColor="text1"/>
          <w:rtl/>
        </w:rPr>
        <w:t>ج 7</w:t>
      </w:r>
      <w:r w:rsidRPr="00872656">
        <w:rPr>
          <w:rFonts w:ascii="Noor_Titr" w:hAnsi="Noor_Titr" w:cs="B Badr" w:hint="cs"/>
          <w:color w:val="000000" w:themeColor="text1"/>
          <w:rtl/>
        </w:rPr>
        <w:t>، ص: 256</w:t>
      </w:r>
    </w:p>
  </w:footnote>
  <w:footnote w:id="5">
    <w:p w:rsidR="00CC4239" w:rsidRDefault="00CC4239" w:rsidP="00CC423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872656">
        <w:rPr>
          <w:rFonts w:ascii="Noor_Titr" w:hAnsi="Noor_Titr" w:cs="B Badr" w:hint="cs"/>
          <w:color w:val="000000" w:themeColor="text1"/>
          <w:rtl/>
        </w:rPr>
        <w:t>تهذ</w:t>
      </w:r>
      <w:r w:rsidR="001548E2">
        <w:rPr>
          <w:rFonts w:ascii="Noor_Titr" w:hAnsi="Noor_Titr" w:cs="B Badr" w:hint="cs"/>
          <w:color w:val="000000" w:themeColor="text1"/>
          <w:rtl/>
        </w:rPr>
        <w:t>ی</w:t>
      </w:r>
      <w:r w:rsidRPr="00872656">
        <w:rPr>
          <w:rFonts w:ascii="Noor_Titr" w:hAnsi="Noor_Titr" w:cs="B Badr" w:hint="cs"/>
          <w:color w:val="000000" w:themeColor="text1"/>
          <w:rtl/>
        </w:rPr>
        <w:t>ب الأح</w:t>
      </w:r>
      <w:r w:rsidR="001548E2">
        <w:rPr>
          <w:rFonts w:ascii="Noor_Titr" w:hAnsi="Noor_Titr" w:cs="B Badr" w:hint="cs"/>
          <w:color w:val="000000" w:themeColor="text1"/>
          <w:rtl/>
        </w:rPr>
        <w:t>ک</w:t>
      </w:r>
      <w:r w:rsidRPr="00872656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1548E2">
        <w:rPr>
          <w:rFonts w:ascii="Noor_Titr" w:hAnsi="Noor_Titr" w:cs="B Badr"/>
          <w:color w:val="000000" w:themeColor="text1"/>
          <w:rtl/>
        </w:rPr>
        <w:t>ج 10</w:t>
      </w:r>
      <w:r w:rsidRPr="00872656">
        <w:rPr>
          <w:rFonts w:ascii="Noor_Titr" w:hAnsi="Noor_Titr" w:cs="B Badr" w:hint="cs"/>
          <w:color w:val="000000" w:themeColor="text1"/>
          <w:rtl/>
        </w:rPr>
        <w:t>، ص: 143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548E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F9083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548E2">
      <w:rPr>
        <w:rFonts w:ascii="IranNastaliq" w:hAnsi="IranNastaliq" w:cs="IranNastaliq" w:hint="cs"/>
        <w:sz w:val="40"/>
        <w:szCs w:val="40"/>
        <w:rtl/>
        <w:lang w:bidi="fa-IR"/>
      </w:rPr>
      <w:t>935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469D"/>
    <w:rsid w:val="0013617D"/>
    <w:rsid w:val="00136442"/>
    <w:rsid w:val="00150D4B"/>
    <w:rsid w:val="00152670"/>
    <w:rsid w:val="001548E2"/>
    <w:rsid w:val="00166DD8"/>
    <w:rsid w:val="001712D6"/>
    <w:rsid w:val="001757C8"/>
    <w:rsid w:val="00177934"/>
    <w:rsid w:val="00192A6A"/>
    <w:rsid w:val="00197CDD"/>
    <w:rsid w:val="001A7D8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4C26"/>
    <w:rsid w:val="003C06BF"/>
    <w:rsid w:val="003C3D1A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D4042"/>
    <w:rsid w:val="004F3596"/>
    <w:rsid w:val="004F56BA"/>
    <w:rsid w:val="00572E2D"/>
    <w:rsid w:val="00576987"/>
    <w:rsid w:val="00592103"/>
    <w:rsid w:val="005941DD"/>
    <w:rsid w:val="005A2931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A418C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9350A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45946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4066"/>
    <w:rsid w:val="00B15027"/>
    <w:rsid w:val="00B21CF4"/>
    <w:rsid w:val="00B24300"/>
    <w:rsid w:val="00B4366F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26A4"/>
    <w:rsid w:val="00C73012"/>
    <w:rsid w:val="00C763DD"/>
    <w:rsid w:val="00C84FC0"/>
    <w:rsid w:val="00C9244A"/>
    <w:rsid w:val="00C970E1"/>
    <w:rsid w:val="00CB5DA3"/>
    <w:rsid w:val="00CC4239"/>
    <w:rsid w:val="00CE31E6"/>
    <w:rsid w:val="00CE3B74"/>
    <w:rsid w:val="00CF42E2"/>
    <w:rsid w:val="00CF7916"/>
    <w:rsid w:val="00D158F3"/>
    <w:rsid w:val="00D26C82"/>
    <w:rsid w:val="00D3665C"/>
    <w:rsid w:val="00D508CC"/>
    <w:rsid w:val="00D50F4B"/>
    <w:rsid w:val="00D60547"/>
    <w:rsid w:val="00D66444"/>
    <w:rsid w:val="00D76353"/>
    <w:rsid w:val="00D96DC0"/>
    <w:rsid w:val="00DB28BB"/>
    <w:rsid w:val="00DC2655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2B03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2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5D1D-7231-4CF6-A8BC-A70D0DA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104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31</cp:revision>
  <dcterms:created xsi:type="dcterms:W3CDTF">2014-12-20T10:23:00Z</dcterms:created>
  <dcterms:modified xsi:type="dcterms:W3CDTF">2015-08-22T04:03:00Z</dcterms:modified>
</cp:coreProperties>
</file>