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6" w:rsidRPr="00AB4285" w:rsidRDefault="00B02D38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7F3889" w:rsidRPr="00AB4285" w:rsidRDefault="007F3889" w:rsidP="007F388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F3889" w:rsidRPr="00AB4285" w:rsidRDefault="007F3889" w:rsidP="007F388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AB4285">
        <w:rPr>
          <w:rFonts w:ascii="IRBadr" w:hAnsi="IRBadr" w:cs="IRBadr"/>
          <w:sz w:val="28"/>
          <w:rtl/>
        </w:rPr>
        <w:fldChar w:fldCharType="begin"/>
      </w:r>
      <w:r w:rsidRPr="00AB4285">
        <w:rPr>
          <w:rFonts w:ascii="IRBadr" w:hAnsi="IRBadr" w:cs="IRBadr"/>
          <w:sz w:val="28"/>
          <w:rtl/>
        </w:rPr>
        <w:instrText xml:space="preserve"> </w:instrText>
      </w:r>
      <w:r w:rsidRPr="00AB4285">
        <w:rPr>
          <w:rFonts w:ascii="IRBadr" w:hAnsi="IRBadr" w:cs="IRBadr"/>
          <w:sz w:val="28"/>
        </w:rPr>
        <w:instrText>TOC</w:instrText>
      </w:r>
      <w:r w:rsidRPr="00AB4285">
        <w:rPr>
          <w:rFonts w:ascii="IRBadr" w:hAnsi="IRBadr" w:cs="IRBadr"/>
          <w:sz w:val="28"/>
          <w:rtl/>
        </w:rPr>
        <w:instrText xml:space="preserve"> \</w:instrText>
      </w:r>
      <w:r w:rsidRPr="00AB4285">
        <w:rPr>
          <w:rFonts w:ascii="IRBadr" w:hAnsi="IRBadr" w:cs="IRBadr"/>
          <w:sz w:val="28"/>
        </w:rPr>
        <w:instrText>o "</w:instrText>
      </w:r>
      <w:r w:rsidRPr="00AB4285">
        <w:rPr>
          <w:rFonts w:ascii="IRBadr" w:hAnsi="IRBadr" w:cs="IRBadr"/>
          <w:sz w:val="28"/>
          <w:rtl/>
        </w:rPr>
        <w:instrText>1-4</w:instrText>
      </w:r>
      <w:r w:rsidRPr="00AB4285">
        <w:rPr>
          <w:rFonts w:ascii="IRBadr" w:hAnsi="IRBadr" w:cs="IRBadr"/>
          <w:sz w:val="28"/>
        </w:rPr>
        <w:instrText>" \h \z \u</w:instrText>
      </w:r>
      <w:r w:rsidRPr="00AB4285">
        <w:rPr>
          <w:rFonts w:ascii="IRBadr" w:hAnsi="IRBadr" w:cs="IRBadr"/>
          <w:sz w:val="28"/>
          <w:rtl/>
        </w:rPr>
        <w:instrText xml:space="preserve"> </w:instrText>
      </w:r>
      <w:r w:rsidRPr="00AB4285">
        <w:rPr>
          <w:rFonts w:ascii="IRBadr" w:hAnsi="IRBadr" w:cs="IRBadr"/>
          <w:sz w:val="28"/>
          <w:rtl/>
        </w:rPr>
        <w:fldChar w:fldCharType="separate"/>
      </w:r>
      <w:hyperlink w:anchor="_Toc427990943" w:history="1">
        <w:r w:rsidRPr="00AB4285">
          <w:rPr>
            <w:rStyle w:val="Hyperlink"/>
            <w:rFonts w:ascii="IRBadr" w:hAnsi="IRBadr" w:cs="IRBadr"/>
            <w:noProof/>
            <w:rtl/>
          </w:rPr>
          <w:t>حد مرتد</w:t>
        </w:r>
        <w:r w:rsidRPr="00AB4285">
          <w:rPr>
            <w:rFonts w:ascii="IRBadr" w:hAnsi="IRBadr" w:cs="IRBadr"/>
            <w:noProof/>
            <w:webHidden/>
          </w:rPr>
          <w:tab/>
        </w:r>
        <w:r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AB4285">
          <w:rPr>
            <w:rFonts w:ascii="IRBadr" w:hAnsi="IRBadr" w:cs="IRBadr"/>
            <w:noProof/>
            <w:webHidden/>
          </w:rPr>
          <w:instrText xml:space="preserve"> PAGEREF _Toc427990943 \h </w:instrText>
        </w:r>
        <w:r w:rsidRPr="00AB4285">
          <w:rPr>
            <w:rStyle w:val="Hyperlink"/>
            <w:rFonts w:ascii="IRBadr" w:hAnsi="IRBadr" w:cs="IRBadr"/>
            <w:noProof/>
            <w:rtl/>
          </w:rPr>
        </w:r>
        <w:r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AB4285">
          <w:rPr>
            <w:rFonts w:ascii="IRBadr" w:hAnsi="IRBadr" w:cs="IRBadr"/>
            <w:noProof/>
            <w:webHidden/>
          </w:rPr>
          <w:t>1</w:t>
        </w:r>
        <w:r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44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_Toc427990944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1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45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حمل حبس بر مرتد فطری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_Toc427990945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2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46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بررسی حمل فوق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_Toc427990946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2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47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_Toc427990947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2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48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بقاء سایر احکام مرتد در قبال زن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_Toc427990948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2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49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_Toc427990949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3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50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_Toc427990950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3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51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تحدید زمانی برای اجرای حد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_Toc427990951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3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52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_Toc427990952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3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53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_Toc427990953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3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5B2405" w:rsidP="007F3889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54" w:history="1">
        <w:r w:rsidR="007F3889" w:rsidRPr="00AB4285">
          <w:rPr>
            <w:rStyle w:val="Hyperlink"/>
            <w:rFonts w:ascii="IRBadr" w:hAnsi="IRBadr" w:cs="IRBadr"/>
            <w:noProof/>
            <w:rtl/>
          </w:rPr>
          <w:t>تعدد یا وحدت استتابه</w:t>
        </w:r>
        <w:r w:rsidR="007F3889" w:rsidRPr="00AB4285">
          <w:rPr>
            <w:rFonts w:ascii="IRBadr" w:hAnsi="IRBadr" w:cs="IRBadr"/>
            <w:noProof/>
            <w:webHidden/>
          </w:rPr>
          <w:tab/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F3889" w:rsidRPr="00AB4285">
          <w:rPr>
            <w:rFonts w:ascii="IRBadr" w:hAnsi="IRBadr" w:cs="IRBadr"/>
            <w:noProof/>
            <w:webHidden/>
          </w:rPr>
          <w:instrText xml:space="preserve"> PAGEREF _Toc427990954 \h </w:instrText>
        </w:r>
        <w:r w:rsidR="007F3889" w:rsidRPr="00AB4285">
          <w:rPr>
            <w:rStyle w:val="Hyperlink"/>
            <w:rFonts w:ascii="IRBadr" w:hAnsi="IRBadr" w:cs="IRBadr"/>
            <w:noProof/>
            <w:rtl/>
          </w:rPr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F3889" w:rsidRPr="00AB4285">
          <w:rPr>
            <w:rFonts w:ascii="IRBadr" w:hAnsi="IRBadr" w:cs="IRBadr"/>
            <w:noProof/>
            <w:webHidden/>
          </w:rPr>
          <w:t>4</w:t>
        </w:r>
        <w:r w:rsidR="007F3889" w:rsidRPr="00AB42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F3889" w:rsidRPr="00AB4285" w:rsidRDefault="007F3889" w:rsidP="007F388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B4285" w:rsidRDefault="00AB4285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990943"/>
      <w:r>
        <w:rPr>
          <w:rFonts w:ascii="IRBadr" w:hAnsi="IRBadr" w:cs="IRBadr"/>
          <w:rtl/>
        </w:rPr>
        <w:br w:type="page"/>
      </w:r>
    </w:p>
    <w:p w:rsidR="00D855D6" w:rsidRPr="00AB4285" w:rsidRDefault="00D855D6" w:rsidP="00B02D38">
      <w:pPr>
        <w:pStyle w:val="Heading1"/>
        <w:rPr>
          <w:rFonts w:ascii="IRBadr" w:hAnsi="IRBadr" w:cs="IRBadr"/>
          <w:rtl/>
        </w:rPr>
      </w:pPr>
      <w:r w:rsidRPr="00AB4285">
        <w:rPr>
          <w:rFonts w:ascii="IRBadr" w:hAnsi="IRBadr" w:cs="IRBadr"/>
          <w:rtl/>
        </w:rPr>
        <w:lastRenderedPageBreak/>
        <w:t>حد مرتد</w:t>
      </w:r>
      <w:bookmarkEnd w:id="0"/>
    </w:p>
    <w:p w:rsidR="00D855D6" w:rsidRPr="00AB4285" w:rsidRDefault="00D855D6" w:rsidP="00B02D38">
      <w:pPr>
        <w:pStyle w:val="Heading1"/>
        <w:rPr>
          <w:rFonts w:ascii="IRBadr" w:hAnsi="IRBadr" w:cs="IRBadr"/>
          <w:rtl/>
        </w:rPr>
      </w:pPr>
      <w:bookmarkStart w:id="1" w:name="_Toc427990944"/>
      <w:r w:rsidRPr="00AB4285">
        <w:rPr>
          <w:rFonts w:ascii="IRBadr" w:hAnsi="IRBadr" w:cs="IRBadr"/>
          <w:rtl/>
        </w:rPr>
        <w:t>مرور بحث گذشته</w:t>
      </w:r>
      <w:bookmarkEnd w:id="1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در جلسه گذشته در قبال این مطالب صحبت شد که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که در باب ارتداد زن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 با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که در قبال مطلق ارتداد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نسبت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عموم و خصوص من وجه دارند. در این باب دو گروه از روایات وجود داشت که در وهله اول متعارض نشان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که یک گروه در قبال زن مرتد قائل به حبس و دیگری قائل به قتل بود،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شهرت با طایفه اول بود و در مورد بخش دوم تنها یک روایت معتبره وجود داشت که از حیث محتوایی از جهات عدیده درباره آن مناقشه صورت گرفت.</w:t>
      </w:r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در این بیان مباحثی نیز در مورد توبه زن مرتد وجود داشت که توبه او چه با ادله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خاصه‌ای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که در این باب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 چه با ادله عمومی توبه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قابل‌پذیرش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D855D6" w:rsidRPr="00AB4285" w:rsidRDefault="00D855D6" w:rsidP="00B02D38">
      <w:pPr>
        <w:pStyle w:val="Heading2"/>
        <w:rPr>
          <w:rFonts w:ascii="IRBadr" w:hAnsi="IRBadr" w:cs="IRBadr"/>
          <w:rtl/>
        </w:rPr>
      </w:pPr>
      <w:bookmarkStart w:id="2" w:name="_Toc427990945"/>
      <w:r w:rsidRPr="00AB4285">
        <w:rPr>
          <w:rFonts w:ascii="IRBadr" w:hAnsi="IRBadr" w:cs="IRBadr"/>
          <w:rtl/>
        </w:rPr>
        <w:t>حمل حبس بر مرتد فطری</w:t>
      </w:r>
      <w:bookmarkEnd w:id="2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این بحث در تفسیر الشریعه،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سیصد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نودونه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هفت‌صد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مسالک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 جواهر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کلمات ایشان این احتمال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 که حکم حبس ابد که در روایت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برای مرتد زن فطری بوده و معنایش این است که توبه او قبول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855D6" w:rsidRPr="00AB4285" w:rsidRDefault="00D855D6" w:rsidP="00B02D38">
      <w:pPr>
        <w:pStyle w:val="Heading2"/>
        <w:rPr>
          <w:rFonts w:ascii="IRBadr" w:hAnsi="IRBadr" w:cs="IRBadr"/>
          <w:rtl/>
        </w:rPr>
      </w:pPr>
      <w:bookmarkStart w:id="3" w:name="_Toc427990946"/>
      <w:r w:rsidRPr="00AB4285">
        <w:rPr>
          <w:rFonts w:ascii="IRBadr" w:hAnsi="IRBadr" w:cs="IRBadr"/>
          <w:rtl/>
        </w:rPr>
        <w:t>بررسی حمل فوق</w:t>
      </w:r>
      <w:bookmarkEnd w:id="3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برای حمل فوق دلیل روشنی وجود ندارد،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یک وجه و جمع در این باب مطرح گردد.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قرینه و دلیلی برای این جمع وجود ندارد.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 کسی بگوید که زن در روایات بعد از مرد است و مردی که روایات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از آن مرتد ملی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اینجا نیز باید بر ملی حمل شود.</w:t>
      </w:r>
    </w:p>
    <w:p w:rsidR="00D855D6" w:rsidRPr="00AB4285" w:rsidRDefault="00D855D6" w:rsidP="00B02D38">
      <w:pPr>
        <w:pStyle w:val="Heading2"/>
        <w:rPr>
          <w:rFonts w:ascii="IRBadr" w:hAnsi="IRBadr" w:cs="IRBadr"/>
          <w:rtl/>
        </w:rPr>
      </w:pPr>
      <w:bookmarkStart w:id="4" w:name="_Toc427990947"/>
      <w:r w:rsidRPr="00AB4285">
        <w:rPr>
          <w:rFonts w:ascii="IRBadr" w:hAnsi="IRBadr" w:cs="IRBadr"/>
          <w:rtl/>
        </w:rPr>
        <w:t>مناقشه در استدلال فوق</w:t>
      </w:r>
      <w:bookmarkEnd w:id="4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تنها شاهدی که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برای این ادعا ذکر کرد این است که قرینه در این سیاق بر این امر دلالت دارد که جمله دوم نیز لابد برای مرتد ملی است.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حقیقت سیاق قرینیتی ندارد،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ثانیاً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خود مرتد فطری نیز این شبهه وجود دارد که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توبه‌اش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واقع نشود.</w:t>
      </w:r>
    </w:p>
    <w:p w:rsidR="00D855D6" w:rsidRPr="00AB4285" w:rsidRDefault="00D855D6" w:rsidP="00B02D38">
      <w:pPr>
        <w:pStyle w:val="Heading3"/>
        <w:rPr>
          <w:rFonts w:ascii="IRBadr" w:hAnsi="IRBadr" w:cs="IRBadr"/>
          <w:rtl/>
        </w:rPr>
      </w:pPr>
      <w:bookmarkStart w:id="5" w:name="_Toc427990948"/>
      <w:r w:rsidRPr="00AB4285">
        <w:rPr>
          <w:rFonts w:ascii="IRBadr" w:hAnsi="IRBadr" w:cs="IRBadr"/>
          <w:rtl/>
        </w:rPr>
        <w:lastRenderedPageBreak/>
        <w:t>بقاء سایر احکام مرتد در قبال زن</w:t>
      </w:r>
      <w:bookmarkEnd w:id="5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سؤالی که در اینجا وجود دارد این است که حکم قتل ثابت درباره مرتد در اینجا به حبس تبدیل شد،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قبال احکام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سه‌گانه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دیگر حکم به چه صورت خواهد بود؟</w:t>
      </w:r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ممکن است کسی چنین برداشت داشته باشد که روایات در مقام بیان و حصر احکام زن مرتد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وقتی در اینجا به حبس 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>اکتفا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شد و مازاد بر آن حکمی ذکر نگردید،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غیرازاین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حکم دیگری برای او نخواهد بود.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مقابل ممکن است نظر دیگری وجود داشته باشد که ما مطمئن هستیم در مورد احکام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 xml:space="preserve"> برای مرد مرتد خصوصیتی که ما</w:t>
      </w:r>
      <w:r w:rsidR="00AB42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ز بین زن و مرد باشد وجود ندارد،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آن احکام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 xml:space="preserve"> را با ال</w:t>
      </w:r>
      <w:r w:rsidR="00AB4285">
        <w:rPr>
          <w:rFonts w:ascii="IRBadr" w:hAnsi="IRBadr" w:cs="IRBadr" w:hint="cs"/>
          <w:sz w:val="28"/>
          <w:szCs w:val="28"/>
          <w:rtl/>
          <w:lang w:bidi="fa-IR"/>
        </w:rPr>
        <w:t>غ</w:t>
      </w:r>
      <w:bookmarkStart w:id="6" w:name="_GoBack"/>
      <w:bookmarkEnd w:id="6"/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ای خصوصیت بدین جا نیز تعمیم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855D6" w:rsidRPr="00AB4285" w:rsidRDefault="00D855D6" w:rsidP="00B02D38">
      <w:pPr>
        <w:pStyle w:val="Heading3"/>
        <w:rPr>
          <w:rFonts w:ascii="IRBadr" w:hAnsi="IRBadr" w:cs="IRBadr"/>
          <w:rtl/>
        </w:rPr>
      </w:pPr>
      <w:bookmarkStart w:id="7" w:name="_Toc427990949"/>
      <w:r w:rsidRPr="00AB4285">
        <w:rPr>
          <w:rFonts w:ascii="IRBadr" w:hAnsi="IRBadr" w:cs="IRBadr"/>
          <w:rtl/>
        </w:rPr>
        <w:t>اتخاذ مبنا</w:t>
      </w:r>
      <w:bookmarkEnd w:id="7"/>
    </w:p>
    <w:p w:rsidR="00D855D6" w:rsidRPr="00AB4285" w:rsidRDefault="00AB4285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اما در حقیقت وجهی برای ال</w:t>
      </w:r>
      <w:r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ای خصوصیت در این مقام وجود ندارد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هیچ‌یک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از فقهای ما نیز به این ال</w:t>
      </w:r>
      <w:r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>ای خصوصیت تفوه ننموده است چراکه در این روایات در قبال ذکر و حتی اسم او چیزی ذکر نشده است.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اینجا حکم تعبدی بوده و با استحسانات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به مناط احکام دست یافت.</w:t>
      </w:r>
    </w:p>
    <w:p w:rsidR="00D855D6" w:rsidRPr="00AB4285" w:rsidRDefault="00B02D38" w:rsidP="00B02D38">
      <w:pPr>
        <w:pStyle w:val="Heading3"/>
        <w:rPr>
          <w:rFonts w:ascii="IRBadr" w:hAnsi="IRBadr" w:cs="IRBadr"/>
          <w:rtl/>
        </w:rPr>
      </w:pPr>
      <w:bookmarkStart w:id="8" w:name="_Toc427990950"/>
      <w:r w:rsidRPr="00AB4285">
        <w:rPr>
          <w:rFonts w:ascii="IRBadr" w:hAnsi="IRBadr" w:cs="IRBadr"/>
          <w:rtl/>
        </w:rPr>
        <w:t>نتیجه‌گیری</w:t>
      </w:r>
      <w:bookmarkEnd w:id="8"/>
    </w:p>
    <w:p w:rsidR="00D855D6" w:rsidRPr="00AB4285" w:rsidRDefault="00B02D38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تاکنون نتیجه بحث این شد که اگر مرد ارتداد پیدا کند،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فطری و ملی احکام خاص خود را دارد و 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اظهر توبه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واقع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>.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قبال زن نیز غیر از حبس احکام دیگر وجود ندارد و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را به او تسری داد.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مدت‌زمانی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نیز که باید صبر نمود تا توبه او احراز شود،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مدت‌زمانی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عرفی است و لازم نیست چندین روز حکم بدین خاطر به تعویق بیفتد.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 w:rsidR="00D855D6" w:rsidRPr="00AB4285">
        <w:rPr>
          <w:rFonts w:ascii="IRBadr" w:hAnsi="IRBadr" w:cs="IRBadr"/>
          <w:sz w:val="28"/>
          <w:szCs w:val="28"/>
          <w:rtl/>
          <w:lang w:bidi="fa-IR"/>
        </w:rPr>
        <w:t xml:space="preserve"> مراد از فوریت در اجرای حکم فوریتی عرفیه است.</w:t>
      </w:r>
    </w:p>
    <w:p w:rsidR="00D855D6" w:rsidRPr="00AB4285" w:rsidRDefault="00D855D6" w:rsidP="00B02D38">
      <w:pPr>
        <w:pStyle w:val="Heading4"/>
        <w:ind w:firstLine="0"/>
        <w:rPr>
          <w:rFonts w:ascii="IRBadr" w:hAnsi="IRBadr" w:cs="IRBadr"/>
          <w:rtl/>
        </w:rPr>
      </w:pPr>
      <w:bookmarkStart w:id="9" w:name="_Toc427990951"/>
      <w:r w:rsidRPr="00AB4285">
        <w:rPr>
          <w:rFonts w:ascii="IRBadr" w:hAnsi="IRBadr" w:cs="IRBadr"/>
          <w:rtl/>
        </w:rPr>
        <w:t>تحدید زمانی برای اجرای حد</w:t>
      </w:r>
      <w:bookmarkEnd w:id="9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روایتی در باب سه از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>ابواب حد مرتد،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پنج، صفحه پانصد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وجود دارد که در آن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مدت‌زمان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صبر برای اجرای حد را سه روز قرار داده است؛</w:t>
      </w:r>
    </w:p>
    <w:p w:rsidR="00D855D6" w:rsidRPr="00AB4285" w:rsidRDefault="00D855D6" w:rsidP="00B02D38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«سَهْلُ بْنُ زِ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عَنْ مُحَمَّدِ بْنِ الْحَسَنِ بْنِ شَمُّونٍ عَنْ عَبْدِ اللَّهِ بْنِ عَبْدِ الرَّحْمَنِ عَنْ مِسْمَعِ بْنِ عَبْدِ الْمَلِ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أَمِ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رُ الْمُؤْمِنِ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الْمُرْتَدُّ تُعْزَلُ عَنْهُ امْرَأَتُهُ وَ لَا تُؤْ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لُ ذَبِ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حَتُهُ وَ 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ثَلَاثَةَ أَ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امٍ فَإِنْ تَابَ وَ إِلَّا قُتِلَ 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وْمَ الرَّابِعِ.</w:t>
      </w:r>
      <w:r w:rsidR="00B02D38"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AB4285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D855D6" w:rsidRPr="00AB4285" w:rsidRDefault="00D855D6" w:rsidP="00B02D38">
      <w:pPr>
        <w:pStyle w:val="Heading4"/>
        <w:ind w:firstLine="0"/>
        <w:rPr>
          <w:rFonts w:ascii="IRBadr" w:hAnsi="IRBadr" w:cs="IRBadr"/>
          <w:rtl/>
        </w:rPr>
      </w:pPr>
      <w:bookmarkStart w:id="10" w:name="_Toc427990952"/>
      <w:r w:rsidRPr="00AB4285">
        <w:rPr>
          <w:rFonts w:ascii="IRBadr" w:hAnsi="IRBadr" w:cs="IRBadr"/>
          <w:rtl/>
        </w:rPr>
        <w:t>بررسی سندی روایت</w:t>
      </w:r>
      <w:bookmarkEnd w:id="10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دلالت این روایت واضح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سند این روایت هم در کافی،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 استبصار و هم در من لایحضر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است. در سند مرحوم کلینی سهل بن زیاد و محمد بن حسن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شمعون‌اند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که ضعیف هستند. در سند شیخ در تهذیب و استبصار باز سهل بن زیاد وجود دارد که اختلافی است و معمولاً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ضعیف است. اما سند مرحوم صدوق به سکونی سند معتبری است، و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نقل مرحوم صدوق این روایت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855D6" w:rsidRPr="00AB4285" w:rsidRDefault="00D855D6" w:rsidP="00B02D38">
      <w:pPr>
        <w:pStyle w:val="Heading4"/>
        <w:ind w:firstLine="0"/>
        <w:rPr>
          <w:rFonts w:ascii="IRBadr" w:hAnsi="IRBadr" w:cs="IRBadr"/>
          <w:rtl/>
        </w:rPr>
      </w:pPr>
      <w:bookmarkStart w:id="11" w:name="_Toc427990953"/>
      <w:r w:rsidRPr="00AB4285">
        <w:rPr>
          <w:rFonts w:ascii="IRBadr" w:hAnsi="IRBadr" w:cs="IRBadr"/>
          <w:rtl/>
        </w:rPr>
        <w:t>اتخاذ مبنا</w:t>
      </w:r>
      <w:bookmarkEnd w:id="11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این روایت مطابق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باقاعده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درع است،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آن باید عمل شود.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تا سه روز به او مهلت داده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و فتوای مشهور نیز </w:t>
      </w:r>
      <w:r w:rsidR="00AB4285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همین است.</w:t>
      </w:r>
    </w:p>
    <w:p w:rsidR="00D855D6" w:rsidRPr="00AB4285" w:rsidRDefault="00D855D6" w:rsidP="00B02D38">
      <w:pPr>
        <w:pStyle w:val="Heading4"/>
        <w:ind w:firstLine="0"/>
        <w:rPr>
          <w:rFonts w:ascii="IRBadr" w:hAnsi="IRBadr" w:cs="IRBadr"/>
          <w:rtl/>
        </w:rPr>
      </w:pPr>
      <w:bookmarkStart w:id="12" w:name="_Toc427990954"/>
      <w:r w:rsidRPr="00AB4285">
        <w:rPr>
          <w:rFonts w:ascii="IRBadr" w:hAnsi="IRBadr" w:cs="IRBadr"/>
          <w:rtl/>
        </w:rPr>
        <w:t>تعدد یا وحدت استتابه</w:t>
      </w:r>
      <w:bookmarkEnd w:id="12"/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4285">
        <w:rPr>
          <w:rFonts w:ascii="IRBadr" w:hAnsi="IRBadr" w:cs="IRBadr"/>
          <w:sz w:val="28"/>
          <w:szCs w:val="28"/>
          <w:rtl/>
          <w:lang w:bidi="fa-IR"/>
        </w:rPr>
        <w:t>اینکه در طول این سه روز چند بار باید از او استتابه نمود،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روایات وجود ندارد و ظاهرش این است که با </w:t>
      </w:r>
      <w:r w:rsidR="00B02D38" w:rsidRPr="00AB4285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AB4285">
        <w:rPr>
          <w:rFonts w:ascii="IRBadr" w:hAnsi="IRBadr" w:cs="IRBadr"/>
          <w:sz w:val="28"/>
          <w:szCs w:val="28"/>
          <w:rtl/>
          <w:lang w:bidi="fa-IR"/>
        </w:rPr>
        <w:t xml:space="preserve"> صدق می‌کند و تکرارش لزومی ندارد، البته جایز است.</w:t>
      </w:r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855D6" w:rsidRPr="00AB4285" w:rsidRDefault="00D855D6" w:rsidP="00B02D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AB4285" w:rsidRDefault="00152670" w:rsidP="00B02D38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AB4285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05" w:rsidRDefault="005B2405" w:rsidP="000D5800">
      <w:pPr>
        <w:spacing w:after="0" w:line="240" w:lineRule="auto"/>
      </w:pPr>
      <w:r>
        <w:separator/>
      </w:r>
    </w:p>
  </w:endnote>
  <w:endnote w:type="continuationSeparator" w:id="0">
    <w:p w:rsidR="005B2405" w:rsidRDefault="005B240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05" w:rsidRDefault="005B2405" w:rsidP="007F3889">
      <w:pPr>
        <w:bidi/>
        <w:spacing w:after="0" w:line="240" w:lineRule="auto"/>
      </w:pPr>
      <w:r>
        <w:separator/>
      </w:r>
    </w:p>
  </w:footnote>
  <w:footnote w:type="continuationSeparator" w:id="0">
    <w:p w:rsidR="005B2405" w:rsidRDefault="005B2405" w:rsidP="000D5800">
      <w:pPr>
        <w:spacing w:after="0" w:line="240" w:lineRule="auto"/>
      </w:pPr>
      <w:r>
        <w:continuationSeparator/>
      </w:r>
    </w:p>
  </w:footnote>
  <w:footnote w:id="1">
    <w:p w:rsidR="00D855D6" w:rsidRDefault="00D855D6" w:rsidP="00D855D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147CA">
        <w:rPr>
          <w:rFonts w:ascii="Noor_Titr" w:hAnsi="Noor_Titr" w:cs="B Badr" w:hint="cs"/>
          <w:color w:val="000000" w:themeColor="text1"/>
          <w:rtl/>
        </w:rPr>
        <w:t>الاستبصار ف</w:t>
      </w:r>
      <w:r w:rsidR="00B02D38">
        <w:rPr>
          <w:rFonts w:ascii="Noor_Titr" w:hAnsi="Noor_Titr" w:cs="B Badr" w:hint="cs"/>
          <w:color w:val="000000" w:themeColor="text1"/>
          <w:rtl/>
        </w:rPr>
        <w:t>ی</w:t>
      </w:r>
      <w:r w:rsidRPr="004147CA"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B02D38">
        <w:rPr>
          <w:rFonts w:ascii="Noor_Titr" w:hAnsi="Noor_Titr" w:cs="B Badr"/>
          <w:color w:val="000000" w:themeColor="text1"/>
          <w:rtl/>
        </w:rPr>
        <w:t>ج 4</w:t>
      </w:r>
      <w:r w:rsidRPr="004147CA">
        <w:rPr>
          <w:rFonts w:ascii="Noor_Titr" w:hAnsi="Noor_Titr" w:cs="B Badr" w:hint="cs"/>
          <w:color w:val="000000" w:themeColor="text1"/>
          <w:rtl/>
        </w:rPr>
        <w:t>، ص: 254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855D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29C63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855D6">
      <w:rPr>
        <w:rFonts w:ascii="IranNastaliq" w:hAnsi="IranNastaliq" w:cs="IranNastaliq" w:hint="cs"/>
        <w:sz w:val="40"/>
        <w:szCs w:val="40"/>
        <w:rtl/>
        <w:lang w:bidi="fa-IR"/>
      </w:rPr>
      <w:t>936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469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264D"/>
    <w:rsid w:val="001A7D8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76987"/>
    <w:rsid w:val="00592103"/>
    <w:rsid w:val="005941DD"/>
    <w:rsid w:val="005A04E5"/>
    <w:rsid w:val="005A2931"/>
    <w:rsid w:val="005A545E"/>
    <w:rsid w:val="005A5862"/>
    <w:rsid w:val="005B0852"/>
    <w:rsid w:val="005B2405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A418C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889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45946"/>
    <w:rsid w:val="00A5418D"/>
    <w:rsid w:val="00A725C2"/>
    <w:rsid w:val="00A769EE"/>
    <w:rsid w:val="00A810A5"/>
    <w:rsid w:val="00A9204F"/>
    <w:rsid w:val="00A9616A"/>
    <w:rsid w:val="00A96F68"/>
    <w:rsid w:val="00AA2342"/>
    <w:rsid w:val="00AB4285"/>
    <w:rsid w:val="00AD0304"/>
    <w:rsid w:val="00AD278F"/>
    <w:rsid w:val="00AD27BE"/>
    <w:rsid w:val="00AF0F1A"/>
    <w:rsid w:val="00AF6CE9"/>
    <w:rsid w:val="00B02D38"/>
    <w:rsid w:val="00B14066"/>
    <w:rsid w:val="00B15027"/>
    <w:rsid w:val="00B21CF4"/>
    <w:rsid w:val="00B24300"/>
    <w:rsid w:val="00B4366F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70E1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55D6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2B03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3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3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B577-3041-432E-81F8-33CB429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84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33</cp:revision>
  <dcterms:created xsi:type="dcterms:W3CDTF">2014-12-20T10:23:00Z</dcterms:created>
  <dcterms:modified xsi:type="dcterms:W3CDTF">2015-08-22T04:02:00Z</dcterms:modified>
</cp:coreProperties>
</file>