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5B" w:rsidRDefault="001745EA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2105B" w:rsidRPr="00014FC2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014FC2" w:rsidRDefault="00014FC2" w:rsidP="00014F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014FC2" w:rsidRDefault="00014FC2" w:rsidP="00014F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360327" w:history="1">
        <w:r w:rsidRPr="00C042D3">
          <w:rPr>
            <w:rStyle w:val="Hyperlink"/>
            <w:rFonts w:ascii="IRBadr" w:hAnsi="IRBadr" w:cs="IRBadr" w:hint="eastAsia"/>
            <w:noProof/>
            <w:rtl/>
          </w:rPr>
          <w:t>آ</w:t>
        </w:r>
        <w:r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Pr="00C042D3">
          <w:rPr>
            <w:rStyle w:val="Hyperlink"/>
            <w:rFonts w:ascii="IRBadr" w:hAnsi="IRBadr" w:cs="IRBadr" w:hint="eastAsia"/>
            <w:noProof/>
            <w:rtl/>
          </w:rPr>
          <w:t>ه</w:t>
        </w:r>
        <w:r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042D3">
          <w:rPr>
            <w:rStyle w:val="Hyperlink"/>
            <w:rFonts w:ascii="IRBadr" w:hAnsi="IRBadr" w:cs="IRBadr" w:hint="eastAsia"/>
            <w:noProof/>
            <w:rtl/>
          </w:rPr>
          <w:t>نف</w:t>
        </w:r>
        <w:r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042D3">
          <w:rPr>
            <w:rStyle w:val="Hyperlink"/>
            <w:rFonts w:ascii="IRBadr" w:hAnsi="IRBadr" w:cs="IRBadr" w:hint="eastAsia"/>
            <w:noProof/>
            <w:rtl/>
          </w:rPr>
          <w:t>اکراه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_Toc428360327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28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سابق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_Toc428360328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1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29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کلام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علامه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_Toc428360329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2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30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احتمالات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014FC2"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گر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کلام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014FC2"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شان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_Toc428360330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2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31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شأن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نزول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آ</w:t>
        </w:r>
        <w:r w:rsidR="00014FC2"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ه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_Toc428360331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2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32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ذکر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چند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مورد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شأن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نزول‌ها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_Toc428360332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2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33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_Toc428360333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3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34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اجتماع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محذور</w:t>
        </w:r>
        <w:r w:rsidR="00014FC2"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_Toc428360334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3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Default="005F3A3B" w:rsidP="00014F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335" w:history="1"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راه‌حل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014FC2"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گر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014FC2" w:rsidRPr="00C042D3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آ</w:t>
        </w:r>
        <w:r w:rsidR="00014FC2" w:rsidRPr="00C042D3">
          <w:rPr>
            <w:rStyle w:val="Hyperlink"/>
            <w:rFonts w:ascii="IRBadr" w:hAnsi="IRBadr" w:cs="IRBadr" w:hint="cs"/>
            <w:noProof/>
            <w:rtl/>
          </w:rPr>
          <w:t>ی</w:t>
        </w:r>
        <w:r w:rsidR="00014FC2" w:rsidRPr="00C042D3">
          <w:rPr>
            <w:rStyle w:val="Hyperlink"/>
            <w:rFonts w:ascii="IRBadr" w:hAnsi="IRBadr" w:cs="IRBadr" w:hint="eastAsia"/>
            <w:noProof/>
            <w:rtl/>
          </w:rPr>
          <w:t>ه</w:t>
        </w:r>
        <w:r w:rsidR="00014FC2">
          <w:rPr>
            <w:noProof/>
            <w:webHidden/>
          </w:rPr>
          <w:tab/>
        </w:r>
        <w:r w:rsidR="00014FC2">
          <w:rPr>
            <w:rStyle w:val="Hyperlink"/>
            <w:noProof/>
            <w:rtl/>
          </w:rPr>
          <w:fldChar w:fldCharType="begin"/>
        </w:r>
        <w:r w:rsidR="00014FC2">
          <w:rPr>
            <w:noProof/>
            <w:webHidden/>
          </w:rPr>
          <w:instrText xml:space="preserve"> PAGEREF _Toc428360335 \h </w:instrText>
        </w:r>
        <w:r w:rsidR="00014FC2">
          <w:rPr>
            <w:rStyle w:val="Hyperlink"/>
            <w:noProof/>
            <w:rtl/>
          </w:rPr>
        </w:r>
        <w:r w:rsidR="00014FC2">
          <w:rPr>
            <w:rStyle w:val="Hyperlink"/>
            <w:noProof/>
            <w:rtl/>
          </w:rPr>
          <w:fldChar w:fldCharType="separate"/>
        </w:r>
        <w:r w:rsidR="00014FC2">
          <w:rPr>
            <w:noProof/>
            <w:webHidden/>
          </w:rPr>
          <w:t>3</w:t>
        </w:r>
        <w:r w:rsidR="00014FC2">
          <w:rPr>
            <w:rStyle w:val="Hyperlink"/>
            <w:noProof/>
            <w:rtl/>
          </w:rPr>
          <w:fldChar w:fldCharType="end"/>
        </w:r>
      </w:hyperlink>
    </w:p>
    <w:p w:rsidR="00014FC2" w:rsidRPr="00014FC2" w:rsidRDefault="00014FC2" w:rsidP="00014F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37ED5" w:rsidRDefault="00C37ED5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360327"/>
      <w:r>
        <w:rPr>
          <w:rFonts w:ascii="IRBadr" w:hAnsi="IRBadr" w:cs="IRBadr"/>
          <w:rtl/>
        </w:rPr>
        <w:br w:type="page"/>
      </w:r>
    </w:p>
    <w:p w:rsidR="00F2105B" w:rsidRPr="00014FC2" w:rsidRDefault="00F2105B" w:rsidP="00F2105B">
      <w:pPr>
        <w:pStyle w:val="Heading1"/>
        <w:rPr>
          <w:rFonts w:ascii="IRBadr" w:hAnsi="IRBadr" w:cs="IRBadr"/>
          <w:rtl/>
        </w:rPr>
      </w:pPr>
      <w:r w:rsidRPr="00014FC2">
        <w:rPr>
          <w:rFonts w:ascii="IRBadr" w:hAnsi="IRBadr" w:cs="IRBadr"/>
          <w:rtl/>
        </w:rPr>
        <w:lastRenderedPageBreak/>
        <w:t>آیه نفی اکراه</w:t>
      </w:r>
      <w:bookmarkEnd w:id="0"/>
    </w:p>
    <w:p w:rsidR="00F2105B" w:rsidRPr="00014FC2" w:rsidRDefault="00F2105B" w:rsidP="00F2105B">
      <w:pPr>
        <w:pStyle w:val="Heading1"/>
        <w:rPr>
          <w:rFonts w:ascii="IRBadr" w:hAnsi="IRBadr" w:cs="IRBadr"/>
          <w:rtl/>
        </w:rPr>
      </w:pPr>
      <w:bookmarkStart w:id="1" w:name="_Toc428360328"/>
      <w:r w:rsidRPr="00014FC2">
        <w:rPr>
          <w:rFonts w:ascii="IRBadr" w:hAnsi="IRBadr" w:cs="IRBadr"/>
          <w:rtl/>
        </w:rPr>
        <w:t>مرور بحث سابق</w:t>
      </w:r>
      <w:bookmarkEnd w:id="1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در قبال آیه شریفه احتمالاتی وجود داشت که نزدیک به چهارده احتمال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این میان چند قول از قوت بیشتری برخوردار بوده است.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قولی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که در این میان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قرار گرفت این بود که مراد از دین حقایق بوده و در اکراه نیز اطلاق وجود دارد و چه خداوند و چه بندگان را دربر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105B" w:rsidRPr="00014FC2" w:rsidRDefault="001745EA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F2105B" w:rsidRPr="00014FC2">
        <w:rPr>
          <w:rFonts w:ascii="IRBadr" w:hAnsi="IRBadr" w:cs="IRBadr"/>
          <w:sz w:val="28"/>
          <w:szCs w:val="28"/>
          <w:rtl/>
          <w:lang w:bidi="fa-IR"/>
        </w:rPr>
        <w:t xml:space="preserve"> افرادی که این احتمال را تأیید 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="00F2105B" w:rsidRPr="00014FC2">
        <w:rPr>
          <w:rFonts w:ascii="IRBadr" w:hAnsi="IRBadr" w:cs="IRBadr"/>
          <w:sz w:val="28"/>
          <w:szCs w:val="28"/>
          <w:rtl/>
          <w:lang w:bidi="fa-IR"/>
        </w:rPr>
        <w:t xml:space="preserve"> مرحوم علامه بودند که کلام ایشان از المیزان در جلسه گذشته ذکر شد.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2105B"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F2105B"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می‌خواستند</w:t>
      </w:r>
      <w:r w:rsidR="00F2105B" w:rsidRPr="00014FC2">
        <w:rPr>
          <w:rFonts w:ascii="IRBadr" w:hAnsi="IRBadr" w:cs="IRBadr"/>
          <w:sz w:val="28"/>
          <w:szCs w:val="28"/>
          <w:rtl/>
          <w:lang w:bidi="fa-IR"/>
        </w:rPr>
        <w:t xml:space="preserve"> بگویند که اکراه ناپذیری اعتقادات قلبی امری تکوینی است.</w:t>
      </w:r>
    </w:p>
    <w:p w:rsidR="00F2105B" w:rsidRPr="00014FC2" w:rsidRDefault="00F2105B" w:rsidP="00F2105B">
      <w:pPr>
        <w:pStyle w:val="Heading2"/>
        <w:rPr>
          <w:rFonts w:ascii="IRBadr" w:hAnsi="IRBadr" w:cs="IRBadr"/>
          <w:rtl/>
        </w:rPr>
      </w:pPr>
      <w:bookmarkStart w:id="2" w:name="_Toc428360329"/>
      <w:r w:rsidRPr="00014FC2">
        <w:rPr>
          <w:rFonts w:ascii="IRBadr" w:hAnsi="IRBadr" w:cs="IRBadr"/>
          <w:rtl/>
        </w:rPr>
        <w:t>مناقشه در کلام علامه</w:t>
      </w:r>
      <w:bookmarkEnd w:id="2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البته در این گفتار علامه مناقشه وجود دارد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معتقدات قلبی عقلاً اکراه ناپذیر است، حکم شرعی بر آن تعلق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از شرایط حکم عقلی این است که اختیاری باشد؛</w:t>
      </w:r>
    </w:p>
    <w:p w:rsidR="00F2105B" w:rsidRPr="00014FC2" w:rsidRDefault="00F2105B" w:rsidP="00F2105B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«لا </w:t>
      </w:r>
      <w:r w:rsidR="001745EA" w:rsidRPr="00014FC2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014FC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لِّفُ اللَّهُ نَفْساً إِلَّا </w:t>
      </w:r>
      <w:r w:rsidR="00B678DB">
        <w:rPr>
          <w:rFonts w:ascii="IRBadr" w:hAnsi="IRBadr" w:cs="IRBadr"/>
          <w:b/>
          <w:bCs/>
          <w:sz w:val="28"/>
          <w:szCs w:val="28"/>
          <w:rtl/>
          <w:lang w:bidi="fa-IR"/>
        </w:rPr>
        <w:t>وسع</w:t>
      </w:r>
      <w:r w:rsidR="001745EA" w:rsidRPr="00014FC2">
        <w:rPr>
          <w:rFonts w:ascii="IRBadr" w:hAnsi="IRBadr" w:cs="IRBadr"/>
          <w:b/>
          <w:bCs/>
          <w:sz w:val="28"/>
          <w:szCs w:val="28"/>
          <w:rtl/>
          <w:lang w:bidi="fa-IR"/>
        </w:rPr>
        <w:t>ها</w:t>
      </w:r>
      <w:r w:rsidRPr="00014FC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014FC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</w:p>
    <w:p w:rsidR="00F2105B" w:rsidRPr="00014FC2" w:rsidRDefault="00F2105B" w:rsidP="00F2105B">
      <w:pPr>
        <w:pStyle w:val="Heading2"/>
        <w:rPr>
          <w:rFonts w:ascii="IRBadr" w:hAnsi="IRBadr" w:cs="IRBadr"/>
          <w:rtl/>
        </w:rPr>
      </w:pPr>
      <w:bookmarkStart w:id="4" w:name="_Toc428360330"/>
      <w:r w:rsidRPr="00014FC2">
        <w:rPr>
          <w:rFonts w:ascii="IRBadr" w:hAnsi="IRBadr" w:cs="IRBadr"/>
          <w:rtl/>
        </w:rPr>
        <w:t>احتمالات دیگر در کلام ایشان</w:t>
      </w:r>
      <w:bookmarkEnd w:id="4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>و اگر بگوییم که در معتقدات قلبیه اکراه معقول نیست،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گفت امر شرعی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غیر عقلی تعلق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اگر ایشان بگویند که مراد ملازمه بین اکراه ناپذیری در معتقدات قلبی با نهی از اکراه در ظواهر اسلام است،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در اینجا ملازمه لازم وجود ندارد.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و اگر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مراد ایشان امر عرفی است که از امور عرفی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حکم شرعی استخراج نمود.</w:t>
      </w:r>
    </w:p>
    <w:p w:rsidR="00F2105B" w:rsidRPr="00014FC2" w:rsidRDefault="00F2105B" w:rsidP="00F2105B">
      <w:pPr>
        <w:pStyle w:val="Heading2"/>
        <w:rPr>
          <w:rFonts w:ascii="IRBadr" w:hAnsi="IRBadr" w:cs="IRBadr"/>
          <w:rtl/>
        </w:rPr>
      </w:pPr>
      <w:bookmarkStart w:id="5" w:name="_Toc428360331"/>
      <w:r w:rsidRPr="00014FC2">
        <w:rPr>
          <w:rFonts w:ascii="IRBadr" w:hAnsi="IRBadr" w:cs="IRBadr"/>
          <w:rtl/>
        </w:rPr>
        <w:t>شأن نزول آیه</w:t>
      </w:r>
      <w:bookmarkEnd w:id="5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>سؤالی که در اینجا وجود دارد،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بااین‌وجود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با شأن نزول آیه باید چگونه کنار آمد؟</w:t>
      </w:r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ما در منابع خاصه شأن نزولی ندیدیم. اما در </w:t>
      </w:r>
      <w:r w:rsidR="00B678DB">
        <w:rPr>
          <w:rFonts w:ascii="IRBadr" w:hAnsi="IRBadr" w:cs="IRBadr"/>
          <w:sz w:val="28"/>
          <w:szCs w:val="28"/>
          <w:rtl/>
          <w:lang w:bidi="fa-IR"/>
        </w:rPr>
        <w:t>منابع عامه در تفسیر در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المنثور چندین شأن نزول در این رابطه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است که معمولاً روایات عامه را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نمی‌توانیم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بپذیریم چراکه رجال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ما نیست.</w:t>
      </w:r>
    </w:p>
    <w:p w:rsidR="00F2105B" w:rsidRPr="00014FC2" w:rsidRDefault="00F2105B" w:rsidP="00F2105B">
      <w:pPr>
        <w:pStyle w:val="Heading2"/>
        <w:rPr>
          <w:rFonts w:ascii="IRBadr" w:hAnsi="IRBadr" w:cs="IRBadr"/>
          <w:rtl/>
        </w:rPr>
      </w:pPr>
      <w:bookmarkStart w:id="6" w:name="_Toc428360332"/>
      <w:r w:rsidRPr="00014FC2">
        <w:rPr>
          <w:rFonts w:ascii="IRBadr" w:hAnsi="IRBadr" w:cs="IRBadr"/>
          <w:rtl/>
        </w:rPr>
        <w:t xml:space="preserve">ذکر چند مورد از شأن </w:t>
      </w:r>
      <w:r w:rsidR="001745EA" w:rsidRPr="00014FC2">
        <w:rPr>
          <w:rFonts w:ascii="IRBadr" w:hAnsi="IRBadr" w:cs="IRBadr"/>
          <w:rtl/>
        </w:rPr>
        <w:t>نزول‌ها</w:t>
      </w:r>
      <w:bookmarkEnd w:id="6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یکی از آن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شأن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نزول‌ها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این است که؛ در مدینه زنانی بودند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که بچه‌دار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می‌شدند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و مدتی بعد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بچه‌هایشان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از دنیا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می‌رفتند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لذا شیر داشتند و مرضعه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می‌شدند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قبل از اسلام نیز زنانی از مشرکین بودند که به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بچه‌های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یهود شیر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می‌دادند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زمانی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که داستان بنی نضیر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آمد و پیامبر (ص) دستور داد که همه باید بروند،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بچه‌های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یهود برادر رضاعی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می‌شدند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این میان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از انصار گفتند ما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بچه‌هایمان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را رها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لذا پیش فرزندان رضاعی خود رفتند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و از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می‌خواستند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که مسلمان شوند که آیه در نهی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وارد شد.</w:t>
      </w:r>
    </w:p>
    <w:p w:rsidR="00F2105B" w:rsidRPr="00014FC2" w:rsidRDefault="00F2105B" w:rsidP="00F2105B">
      <w:pPr>
        <w:pStyle w:val="Heading2"/>
        <w:rPr>
          <w:rFonts w:ascii="IRBadr" w:hAnsi="IRBadr" w:cs="IRBadr"/>
          <w:rtl/>
        </w:rPr>
      </w:pPr>
      <w:bookmarkStart w:id="7" w:name="_Toc428360333"/>
      <w:r w:rsidRPr="00014FC2">
        <w:rPr>
          <w:rFonts w:ascii="IRBadr" w:hAnsi="IRBadr" w:cs="IRBadr"/>
          <w:rtl/>
        </w:rPr>
        <w:t>اتخاذ مبنا</w:t>
      </w:r>
      <w:bookmarkEnd w:id="7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این موارد از شأن نزول در تفاسیر عامه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است و از اعتبار چندانی برخوردار نیست.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بر مبنای متخذ خود پافشاری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105B" w:rsidRPr="00014FC2" w:rsidRDefault="00F2105B" w:rsidP="00F2105B">
      <w:pPr>
        <w:pStyle w:val="Heading2"/>
        <w:rPr>
          <w:rFonts w:ascii="IRBadr" w:hAnsi="IRBadr" w:cs="IRBadr"/>
          <w:rtl/>
        </w:rPr>
      </w:pPr>
      <w:bookmarkStart w:id="8" w:name="_Toc428360334"/>
      <w:r w:rsidRPr="00014FC2">
        <w:rPr>
          <w:rFonts w:ascii="IRBadr" w:hAnsi="IRBadr" w:cs="IRBadr"/>
          <w:rtl/>
        </w:rPr>
        <w:t>اجتماع محذورین</w:t>
      </w:r>
      <w:bookmarkEnd w:id="8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در اینجا دو محذور وجود دارد که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به‌راحتی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یکی از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آندورا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کنار گذاشت،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این بوده که این روایات دارای تعدد زیادی است و حکمی منحصر به عامه نیست بلکه به اسلام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. از طرفی دیگر نیز اگر بخواهیم به این موارد از شأن نزول تکیه کنیم،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آیه را ظاهر خود منصرف نموده و بگوییم مراد از آن تنها حکمی فقهی و منظور از دین موارد ظاهری شریعت است که این نیز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به‌نوبه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خود محذور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پراهمیتی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در اینجا به سهولت یکی از دو طرف را اخذ نمود.</w:t>
      </w:r>
    </w:p>
    <w:p w:rsidR="00F2105B" w:rsidRPr="00014FC2" w:rsidRDefault="001745EA" w:rsidP="00F2105B">
      <w:pPr>
        <w:pStyle w:val="Heading2"/>
        <w:rPr>
          <w:rFonts w:ascii="IRBadr" w:hAnsi="IRBadr" w:cs="IRBadr"/>
          <w:rtl/>
        </w:rPr>
      </w:pPr>
      <w:bookmarkStart w:id="9" w:name="_Toc428360335"/>
      <w:r w:rsidRPr="00014FC2">
        <w:rPr>
          <w:rFonts w:ascii="IRBadr" w:hAnsi="IRBadr" w:cs="IRBadr"/>
          <w:rtl/>
        </w:rPr>
        <w:t>راه‌حل</w:t>
      </w:r>
      <w:r w:rsidR="00F2105B" w:rsidRPr="00014FC2">
        <w:rPr>
          <w:rFonts w:ascii="IRBadr" w:hAnsi="IRBadr" w:cs="IRBadr"/>
          <w:rtl/>
        </w:rPr>
        <w:t xml:space="preserve"> دیگر در آیه</w:t>
      </w:r>
      <w:bookmarkEnd w:id="9"/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لذا ما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به‌احتمال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دیگری در این رابطه تمسک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</w:p>
    <w:p w:rsidR="00F2105B" w:rsidRPr="00014FC2" w:rsidRDefault="00F2105B" w:rsidP="00F2105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14FC2">
        <w:rPr>
          <w:rFonts w:ascii="IRBadr" w:hAnsi="IRBadr" w:cs="IRBadr"/>
          <w:sz w:val="28"/>
          <w:szCs w:val="28"/>
          <w:rtl/>
          <w:lang w:bidi="fa-IR"/>
        </w:rPr>
        <w:lastRenderedPageBreak/>
        <w:t>مراد از عدم اکراه در دین،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نفی در اینجا به داعی نهی است.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دین دارای باطن و ظاهری است،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آیه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علاوه بر باطن،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آیه را نیز دربر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>.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هم ظاهر آیه و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هم‌شأن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نزول مورد مراعات </w:t>
      </w:r>
      <w:r w:rsidR="001745EA" w:rsidRPr="00014FC2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014FC2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52670" w:rsidRPr="00014FC2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014FC2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3B" w:rsidRDefault="005F3A3B" w:rsidP="000D5800">
      <w:pPr>
        <w:spacing w:after="0" w:line="240" w:lineRule="auto"/>
      </w:pPr>
      <w:r>
        <w:separator/>
      </w:r>
    </w:p>
  </w:endnote>
  <w:endnote w:type="continuationSeparator" w:id="0">
    <w:p w:rsidR="005F3A3B" w:rsidRDefault="005F3A3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3B" w:rsidRDefault="005F3A3B" w:rsidP="00014FC2">
      <w:pPr>
        <w:bidi/>
        <w:spacing w:after="0" w:line="240" w:lineRule="auto"/>
      </w:pPr>
      <w:r>
        <w:separator/>
      </w:r>
    </w:p>
  </w:footnote>
  <w:footnote w:type="continuationSeparator" w:id="0">
    <w:p w:rsidR="005F3A3B" w:rsidRDefault="005F3A3B" w:rsidP="000D5800">
      <w:pPr>
        <w:spacing w:after="0" w:line="240" w:lineRule="auto"/>
      </w:pPr>
      <w:r>
        <w:continuationSeparator/>
      </w:r>
    </w:p>
  </w:footnote>
  <w:footnote w:id="1">
    <w:p w:rsidR="00F2105B" w:rsidRDefault="00F2105B" w:rsidP="00F2105B">
      <w:pPr>
        <w:pStyle w:val="FootnoteText"/>
        <w:rPr>
          <w:rtl/>
        </w:rPr>
      </w:pPr>
      <w:bookmarkStart w:id="3" w:name="_GoBack"/>
      <w:bookmarkEnd w:id="3"/>
      <w:r>
        <w:rPr>
          <w:rStyle w:val="FootnoteReference"/>
        </w:rPr>
        <w:footnoteRef/>
      </w:r>
      <w:r>
        <w:t xml:space="preserve"> </w:t>
      </w:r>
      <w:r w:rsidR="00B678DB">
        <w:rPr>
          <w:rFonts w:cs="B Badr" w:hint="cs"/>
          <w:rtl/>
        </w:rPr>
        <w:t xml:space="preserve">- </w:t>
      </w:r>
      <w:r w:rsidRPr="00A505E4">
        <w:rPr>
          <w:rFonts w:cs="B Badr" w:hint="cs"/>
          <w:rtl/>
        </w:rPr>
        <w:t>289/بقره</w:t>
      </w:r>
      <w:r w:rsidR="00B678D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C37ED5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28D7DF2" wp14:editId="3925AD1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1AE85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756F29A4" wp14:editId="449D7F4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="00C37ED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37ED5">
      <w:rPr>
        <w:rFonts w:ascii="IranNastaliq" w:hAnsi="IranNastaliq" w:cs="IranNastaliq" w:hint="cs"/>
        <w:sz w:val="40"/>
        <w:szCs w:val="40"/>
        <w:rtl/>
        <w:lang w:bidi="fa-IR"/>
      </w:rPr>
      <w:t>941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14FC2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45EA"/>
    <w:rsid w:val="001757C8"/>
    <w:rsid w:val="00177934"/>
    <w:rsid w:val="00192A6A"/>
    <w:rsid w:val="00197CDD"/>
    <w:rsid w:val="001C367D"/>
    <w:rsid w:val="001C413A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068"/>
    <w:rsid w:val="002E450B"/>
    <w:rsid w:val="002E73F9"/>
    <w:rsid w:val="002F05B9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3A3B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76AA5"/>
    <w:rsid w:val="00883733"/>
    <w:rsid w:val="00884041"/>
    <w:rsid w:val="008965D2"/>
    <w:rsid w:val="008A236D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678DB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37ED5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105B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6664-A345-4D3B-8387-C42FCA9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103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57</cp:revision>
  <dcterms:created xsi:type="dcterms:W3CDTF">2014-12-20T10:23:00Z</dcterms:created>
  <dcterms:modified xsi:type="dcterms:W3CDTF">2015-08-27T06:03:00Z</dcterms:modified>
</cp:coreProperties>
</file>