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بسم‌الله الرحمن الرحیم</w:t>
      </w:r>
    </w:p>
    <w:p w:rsidR="00AF1235" w:rsidRPr="00922029" w:rsidRDefault="00AF1235" w:rsidP="00AF1235">
      <w:pPr>
        <w:bidi/>
        <w:jc w:val="both"/>
        <w:rPr>
          <w:rFonts w:ascii="IRBadr" w:hAnsi="IRBadr" w:cs="IRBadr"/>
          <w:sz w:val="28"/>
          <w:szCs w:val="28"/>
          <w:rtl/>
          <w:lang w:bidi="fa-IR"/>
        </w:rPr>
      </w:pPr>
      <w:r w:rsidRPr="00922029">
        <w:rPr>
          <w:rFonts w:ascii="IRBadr" w:hAnsi="IRBadr" w:cs="IRBadr"/>
          <w:sz w:val="28"/>
          <w:szCs w:val="28"/>
          <w:rtl/>
          <w:lang w:bidi="fa-IR"/>
        </w:rPr>
        <w:t>فهرست مطالب:</w:t>
      </w:r>
    </w:p>
    <w:p w:rsidR="00AF1235" w:rsidRPr="00922029" w:rsidRDefault="00AF1235" w:rsidP="00AF1235">
      <w:pPr>
        <w:pStyle w:val="TOC1"/>
        <w:tabs>
          <w:tab w:val="right" w:leader="dot" w:pos="9350"/>
        </w:tabs>
        <w:rPr>
          <w:rFonts w:ascii="IRBadr" w:hAnsi="IRBadr" w:cs="IRBadr"/>
          <w:noProof/>
          <w:szCs w:val="22"/>
        </w:rPr>
      </w:pPr>
      <w:r w:rsidRPr="00922029">
        <w:rPr>
          <w:rFonts w:ascii="IRBadr" w:hAnsi="IRBadr" w:cs="IRBadr"/>
          <w:sz w:val="28"/>
          <w:rtl/>
        </w:rPr>
        <w:fldChar w:fldCharType="begin"/>
      </w:r>
      <w:r w:rsidRPr="00922029">
        <w:rPr>
          <w:rFonts w:ascii="IRBadr" w:hAnsi="IRBadr" w:cs="IRBadr"/>
          <w:sz w:val="28"/>
          <w:rtl/>
        </w:rPr>
        <w:instrText xml:space="preserve"> </w:instrText>
      </w:r>
      <w:r w:rsidRPr="00922029">
        <w:rPr>
          <w:rFonts w:ascii="IRBadr" w:hAnsi="IRBadr" w:cs="IRBadr"/>
          <w:sz w:val="28"/>
        </w:rPr>
        <w:instrText>TOC</w:instrText>
      </w:r>
      <w:r w:rsidRPr="00922029">
        <w:rPr>
          <w:rFonts w:ascii="IRBadr" w:hAnsi="IRBadr" w:cs="IRBadr"/>
          <w:sz w:val="28"/>
          <w:rtl/>
        </w:rPr>
        <w:instrText xml:space="preserve"> \</w:instrText>
      </w:r>
      <w:r w:rsidRPr="00922029">
        <w:rPr>
          <w:rFonts w:ascii="IRBadr" w:hAnsi="IRBadr" w:cs="IRBadr"/>
          <w:sz w:val="28"/>
        </w:rPr>
        <w:instrText>o "</w:instrText>
      </w:r>
      <w:r w:rsidRPr="00922029">
        <w:rPr>
          <w:rFonts w:ascii="IRBadr" w:hAnsi="IRBadr" w:cs="IRBadr"/>
          <w:sz w:val="28"/>
          <w:rtl/>
        </w:rPr>
        <w:instrText>1-4</w:instrText>
      </w:r>
      <w:r w:rsidRPr="00922029">
        <w:rPr>
          <w:rFonts w:ascii="IRBadr" w:hAnsi="IRBadr" w:cs="IRBadr"/>
          <w:sz w:val="28"/>
        </w:rPr>
        <w:instrText>" \h \z \u</w:instrText>
      </w:r>
      <w:r w:rsidRPr="00922029">
        <w:rPr>
          <w:rFonts w:ascii="IRBadr" w:hAnsi="IRBadr" w:cs="IRBadr"/>
          <w:sz w:val="28"/>
          <w:rtl/>
        </w:rPr>
        <w:instrText xml:space="preserve"> </w:instrText>
      </w:r>
      <w:r w:rsidRPr="00922029">
        <w:rPr>
          <w:rFonts w:ascii="IRBadr" w:hAnsi="IRBadr" w:cs="IRBadr"/>
          <w:sz w:val="28"/>
          <w:rtl/>
        </w:rPr>
        <w:fldChar w:fldCharType="separate"/>
      </w:r>
      <w:hyperlink w:anchor="_Toc427996458" w:history="1">
        <w:r w:rsidRPr="00922029">
          <w:rPr>
            <w:rStyle w:val="Hyperlink"/>
            <w:rFonts w:ascii="IRBadr" w:hAnsi="IRBadr" w:cs="IRBadr"/>
            <w:noProof/>
            <w:rtl/>
          </w:rPr>
          <w:t>حد ارتداد</w:t>
        </w:r>
        <w:r w:rsidRPr="00922029">
          <w:rPr>
            <w:rFonts w:ascii="IRBadr" w:hAnsi="IRBadr" w:cs="IRBadr"/>
            <w:noProof/>
            <w:webHidden/>
          </w:rPr>
          <w:tab/>
        </w:r>
        <w:r w:rsidRPr="00922029">
          <w:rPr>
            <w:rStyle w:val="Hyperlink"/>
            <w:rFonts w:ascii="IRBadr" w:hAnsi="IRBadr" w:cs="IRBadr"/>
            <w:noProof/>
            <w:rtl/>
          </w:rPr>
          <w:fldChar w:fldCharType="begin"/>
        </w:r>
        <w:r w:rsidRPr="00922029">
          <w:rPr>
            <w:rFonts w:ascii="IRBadr" w:hAnsi="IRBadr" w:cs="IRBadr"/>
            <w:noProof/>
            <w:webHidden/>
          </w:rPr>
          <w:instrText xml:space="preserve"> PAGEREF _Toc427996458 \h </w:instrText>
        </w:r>
        <w:r w:rsidRPr="00922029">
          <w:rPr>
            <w:rStyle w:val="Hyperlink"/>
            <w:rFonts w:ascii="IRBadr" w:hAnsi="IRBadr" w:cs="IRBadr"/>
            <w:noProof/>
            <w:rtl/>
          </w:rPr>
        </w:r>
        <w:r w:rsidRPr="00922029">
          <w:rPr>
            <w:rStyle w:val="Hyperlink"/>
            <w:rFonts w:ascii="IRBadr" w:hAnsi="IRBadr" w:cs="IRBadr"/>
            <w:noProof/>
            <w:rtl/>
          </w:rPr>
          <w:fldChar w:fldCharType="separate"/>
        </w:r>
        <w:r w:rsidRPr="00922029">
          <w:rPr>
            <w:rFonts w:ascii="IRBadr" w:hAnsi="IRBadr" w:cs="IRBadr"/>
            <w:noProof/>
            <w:webHidden/>
          </w:rPr>
          <w:t>1</w:t>
        </w:r>
        <w:r w:rsidRPr="00922029">
          <w:rPr>
            <w:rStyle w:val="Hyperlink"/>
            <w:rFonts w:ascii="IRBadr" w:hAnsi="IRBadr" w:cs="IRBadr"/>
            <w:noProof/>
            <w:rtl/>
          </w:rPr>
          <w:fldChar w:fldCharType="end"/>
        </w:r>
      </w:hyperlink>
    </w:p>
    <w:p w:rsidR="00AF1235" w:rsidRPr="00922029" w:rsidRDefault="006D0E78" w:rsidP="00AF1235">
      <w:pPr>
        <w:pStyle w:val="TOC1"/>
        <w:tabs>
          <w:tab w:val="right" w:leader="dot" w:pos="9350"/>
        </w:tabs>
        <w:rPr>
          <w:rFonts w:ascii="IRBadr" w:hAnsi="IRBadr" w:cs="IRBadr"/>
          <w:noProof/>
          <w:szCs w:val="22"/>
        </w:rPr>
      </w:pPr>
      <w:hyperlink w:anchor="_Toc427996459" w:history="1">
        <w:r w:rsidR="00AF1235" w:rsidRPr="00922029">
          <w:rPr>
            <w:rStyle w:val="Hyperlink"/>
            <w:rFonts w:ascii="IRBadr" w:hAnsi="IRBadr" w:cs="IRBadr"/>
            <w:noProof/>
            <w:rtl/>
          </w:rPr>
          <w:t>تشکیک در توحید یا نبوت</w:t>
        </w:r>
        <w:r w:rsidR="00AF1235" w:rsidRPr="00922029">
          <w:rPr>
            <w:rFonts w:ascii="IRBadr" w:hAnsi="IRBadr" w:cs="IRBadr"/>
            <w:noProof/>
            <w:webHidden/>
          </w:rPr>
          <w:tab/>
        </w:r>
        <w:r w:rsidR="00AF1235" w:rsidRPr="00922029">
          <w:rPr>
            <w:rStyle w:val="Hyperlink"/>
            <w:rFonts w:ascii="IRBadr" w:hAnsi="IRBadr" w:cs="IRBadr"/>
            <w:noProof/>
            <w:rtl/>
          </w:rPr>
          <w:fldChar w:fldCharType="begin"/>
        </w:r>
        <w:r w:rsidR="00AF1235" w:rsidRPr="00922029">
          <w:rPr>
            <w:rFonts w:ascii="IRBadr" w:hAnsi="IRBadr" w:cs="IRBadr"/>
            <w:noProof/>
            <w:webHidden/>
          </w:rPr>
          <w:instrText xml:space="preserve"> PAGEREF _Toc427996459 \h </w:instrText>
        </w:r>
        <w:r w:rsidR="00AF1235" w:rsidRPr="00922029">
          <w:rPr>
            <w:rStyle w:val="Hyperlink"/>
            <w:rFonts w:ascii="IRBadr" w:hAnsi="IRBadr" w:cs="IRBadr"/>
            <w:noProof/>
            <w:rtl/>
          </w:rPr>
        </w:r>
        <w:r w:rsidR="00AF1235" w:rsidRPr="00922029">
          <w:rPr>
            <w:rStyle w:val="Hyperlink"/>
            <w:rFonts w:ascii="IRBadr" w:hAnsi="IRBadr" w:cs="IRBadr"/>
            <w:noProof/>
            <w:rtl/>
          </w:rPr>
          <w:fldChar w:fldCharType="separate"/>
        </w:r>
        <w:r w:rsidR="00AF1235" w:rsidRPr="00922029">
          <w:rPr>
            <w:rFonts w:ascii="IRBadr" w:hAnsi="IRBadr" w:cs="IRBadr"/>
            <w:noProof/>
            <w:webHidden/>
          </w:rPr>
          <w:t>1</w:t>
        </w:r>
        <w:r w:rsidR="00AF1235" w:rsidRPr="00922029">
          <w:rPr>
            <w:rStyle w:val="Hyperlink"/>
            <w:rFonts w:ascii="IRBadr" w:hAnsi="IRBadr" w:cs="IRBadr"/>
            <w:noProof/>
            <w:rtl/>
          </w:rPr>
          <w:fldChar w:fldCharType="end"/>
        </w:r>
      </w:hyperlink>
    </w:p>
    <w:p w:rsidR="00AF1235" w:rsidRPr="00922029" w:rsidRDefault="006D0E78" w:rsidP="00AF1235">
      <w:pPr>
        <w:pStyle w:val="TOC2"/>
        <w:tabs>
          <w:tab w:val="right" w:leader="dot" w:pos="9350"/>
        </w:tabs>
        <w:rPr>
          <w:rFonts w:ascii="IRBadr" w:hAnsi="IRBadr" w:cs="IRBadr"/>
          <w:noProof/>
          <w:szCs w:val="22"/>
        </w:rPr>
      </w:pPr>
      <w:hyperlink w:anchor="_Toc427996460" w:history="1">
        <w:r w:rsidR="00AF1235" w:rsidRPr="00922029">
          <w:rPr>
            <w:rStyle w:val="Hyperlink"/>
            <w:rFonts w:ascii="IRBadr" w:hAnsi="IRBadr" w:cs="IRBadr"/>
            <w:noProof/>
            <w:rtl/>
          </w:rPr>
          <w:t>ارتداد در مجامع علمی</w:t>
        </w:r>
        <w:r w:rsidR="00AF1235" w:rsidRPr="00922029">
          <w:rPr>
            <w:rFonts w:ascii="IRBadr" w:hAnsi="IRBadr" w:cs="IRBadr"/>
            <w:noProof/>
            <w:webHidden/>
          </w:rPr>
          <w:tab/>
        </w:r>
        <w:r w:rsidR="00AF1235" w:rsidRPr="00922029">
          <w:rPr>
            <w:rStyle w:val="Hyperlink"/>
            <w:rFonts w:ascii="IRBadr" w:hAnsi="IRBadr" w:cs="IRBadr"/>
            <w:noProof/>
            <w:rtl/>
          </w:rPr>
          <w:fldChar w:fldCharType="begin"/>
        </w:r>
        <w:r w:rsidR="00AF1235" w:rsidRPr="00922029">
          <w:rPr>
            <w:rFonts w:ascii="IRBadr" w:hAnsi="IRBadr" w:cs="IRBadr"/>
            <w:noProof/>
            <w:webHidden/>
          </w:rPr>
          <w:instrText xml:space="preserve"> PAGEREF _Toc427996460 \h </w:instrText>
        </w:r>
        <w:r w:rsidR="00AF1235" w:rsidRPr="00922029">
          <w:rPr>
            <w:rStyle w:val="Hyperlink"/>
            <w:rFonts w:ascii="IRBadr" w:hAnsi="IRBadr" w:cs="IRBadr"/>
            <w:noProof/>
            <w:rtl/>
          </w:rPr>
        </w:r>
        <w:r w:rsidR="00AF1235" w:rsidRPr="00922029">
          <w:rPr>
            <w:rStyle w:val="Hyperlink"/>
            <w:rFonts w:ascii="IRBadr" w:hAnsi="IRBadr" w:cs="IRBadr"/>
            <w:noProof/>
            <w:rtl/>
          </w:rPr>
          <w:fldChar w:fldCharType="separate"/>
        </w:r>
        <w:r w:rsidR="00AF1235" w:rsidRPr="00922029">
          <w:rPr>
            <w:rFonts w:ascii="IRBadr" w:hAnsi="IRBadr" w:cs="IRBadr"/>
            <w:noProof/>
            <w:webHidden/>
          </w:rPr>
          <w:t>1</w:t>
        </w:r>
        <w:r w:rsidR="00AF1235" w:rsidRPr="00922029">
          <w:rPr>
            <w:rStyle w:val="Hyperlink"/>
            <w:rFonts w:ascii="IRBadr" w:hAnsi="IRBadr" w:cs="IRBadr"/>
            <w:noProof/>
            <w:rtl/>
          </w:rPr>
          <w:fldChar w:fldCharType="end"/>
        </w:r>
      </w:hyperlink>
    </w:p>
    <w:p w:rsidR="00AF1235" w:rsidRPr="00922029" w:rsidRDefault="006D0E78" w:rsidP="00AF1235">
      <w:pPr>
        <w:pStyle w:val="TOC2"/>
        <w:tabs>
          <w:tab w:val="right" w:leader="dot" w:pos="9350"/>
        </w:tabs>
        <w:rPr>
          <w:rFonts w:ascii="IRBadr" w:hAnsi="IRBadr" w:cs="IRBadr"/>
          <w:noProof/>
          <w:szCs w:val="22"/>
        </w:rPr>
      </w:pPr>
      <w:hyperlink w:anchor="_Toc427996461" w:history="1">
        <w:r w:rsidR="00AF1235" w:rsidRPr="00922029">
          <w:rPr>
            <w:rStyle w:val="Hyperlink"/>
            <w:rFonts w:ascii="IRBadr" w:hAnsi="IRBadr" w:cs="IRBadr"/>
            <w:noProof/>
            <w:rtl/>
          </w:rPr>
          <w:t>قصد در این مقام</w:t>
        </w:r>
        <w:r w:rsidR="00AF1235" w:rsidRPr="00922029">
          <w:rPr>
            <w:rFonts w:ascii="IRBadr" w:hAnsi="IRBadr" w:cs="IRBadr"/>
            <w:noProof/>
            <w:webHidden/>
          </w:rPr>
          <w:tab/>
        </w:r>
        <w:r w:rsidR="00AF1235" w:rsidRPr="00922029">
          <w:rPr>
            <w:rStyle w:val="Hyperlink"/>
            <w:rFonts w:ascii="IRBadr" w:hAnsi="IRBadr" w:cs="IRBadr"/>
            <w:noProof/>
            <w:rtl/>
          </w:rPr>
          <w:fldChar w:fldCharType="begin"/>
        </w:r>
        <w:r w:rsidR="00AF1235" w:rsidRPr="00922029">
          <w:rPr>
            <w:rFonts w:ascii="IRBadr" w:hAnsi="IRBadr" w:cs="IRBadr"/>
            <w:noProof/>
            <w:webHidden/>
          </w:rPr>
          <w:instrText xml:space="preserve"> PAGEREF _Toc427996461 \h </w:instrText>
        </w:r>
        <w:r w:rsidR="00AF1235" w:rsidRPr="00922029">
          <w:rPr>
            <w:rStyle w:val="Hyperlink"/>
            <w:rFonts w:ascii="IRBadr" w:hAnsi="IRBadr" w:cs="IRBadr"/>
            <w:noProof/>
            <w:rtl/>
          </w:rPr>
        </w:r>
        <w:r w:rsidR="00AF1235" w:rsidRPr="00922029">
          <w:rPr>
            <w:rStyle w:val="Hyperlink"/>
            <w:rFonts w:ascii="IRBadr" w:hAnsi="IRBadr" w:cs="IRBadr"/>
            <w:noProof/>
            <w:rtl/>
          </w:rPr>
          <w:fldChar w:fldCharType="separate"/>
        </w:r>
        <w:r w:rsidR="00AF1235" w:rsidRPr="00922029">
          <w:rPr>
            <w:rFonts w:ascii="IRBadr" w:hAnsi="IRBadr" w:cs="IRBadr"/>
            <w:noProof/>
            <w:webHidden/>
          </w:rPr>
          <w:t>2</w:t>
        </w:r>
        <w:r w:rsidR="00AF1235" w:rsidRPr="00922029">
          <w:rPr>
            <w:rStyle w:val="Hyperlink"/>
            <w:rFonts w:ascii="IRBadr" w:hAnsi="IRBadr" w:cs="IRBadr"/>
            <w:noProof/>
            <w:rtl/>
          </w:rPr>
          <w:fldChar w:fldCharType="end"/>
        </w:r>
      </w:hyperlink>
    </w:p>
    <w:p w:rsidR="00AF1235" w:rsidRPr="00922029" w:rsidRDefault="006D0E78" w:rsidP="00AF1235">
      <w:pPr>
        <w:pStyle w:val="TOC3"/>
        <w:tabs>
          <w:tab w:val="right" w:leader="dot" w:pos="9350"/>
        </w:tabs>
        <w:rPr>
          <w:rFonts w:ascii="IRBadr" w:eastAsiaTheme="minorEastAsia" w:hAnsi="IRBadr" w:cs="IRBadr"/>
          <w:noProof/>
          <w:szCs w:val="22"/>
        </w:rPr>
      </w:pPr>
      <w:hyperlink w:anchor="_Toc427996462" w:history="1">
        <w:r w:rsidR="00AF1235" w:rsidRPr="00922029">
          <w:rPr>
            <w:rStyle w:val="Hyperlink"/>
            <w:rFonts w:ascii="IRBadr" w:hAnsi="IRBadr" w:cs="IRBadr"/>
            <w:noProof/>
            <w:rtl/>
          </w:rPr>
          <w:t>تعمیم معنای ارتداد</w:t>
        </w:r>
        <w:r w:rsidR="00AF1235" w:rsidRPr="00922029">
          <w:rPr>
            <w:rFonts w:ascii="IRBadr" w:hAnsi="IRBadr" w:cs="IRBadr"/>
            <w:noProof/>
            <w:webHidden/>
          </w:rPr>
          <w:tab/>
        </w:r>
        <w:r w:rsidR="00AF1235" w:rsidRPr="00922029">
          <w:rPr>
            <w:rStyle w:val="Hyperlink"/>
            <w:rFonts w:ascii="IRBadr" w:hAnsi="IRBadr" w:cs="IRBadr"/>
            <w:noProof/>
            <w:rtl/>
          </w:rPr>
          <w:fldChar w:fldCharType="begin"/>
        </w:r>
        <w:r w:rsidR="00AF1235" w:rsidRPr="00922029">
          <w:rPr>
            <w:rFonts w:ascii="IRBadr" w:hAnsi="IRBadr" w:cs="IRBadr"/>
            <w:noProof/>
            <w:webHidden/>
          </w:rPr>
          <w:instrText xml:space="preserve"> PAGEREF _Toc427996462 \h </w:instrText>
        </w:r>
        <w:r w:rsidR="00AF1235" w:rsidRPr="00922029">
          <w:rPr>
            <w:rStyle w:val="Hyperlink"/>
            <w:rFonts w:ascii="IRBadr" w:hAnsi="IRBadr" w:cs="IRBadr"/>
            <w:noProof/>
            <w:rtl/>
          </w:rPr>
        </w:r>
        <w:r w:rsidR="00AF1235" w:rsidRPr="00922029">
          <w:rPr>
            <w:rStyle w:val="Hyperlink"/>
            <w:rFonts w:ascii="IRBadr" w:hAnsi="IRBadr" w:cs="IRBadr"/>
            <w:noProof/>
            <w:rtl/>
          </w:rPr>
          <w:fldChar w:fldCharType="separate"/>
        </w:r>
        <w:r w:rsidR="00AF1235" w:rsidRPr="00922029">
          <w:rPr>
            <w:rFonts w:ascii="IRBadr" w:hAnsi="IRBadr" w:cs="IRBadr"/>
            <w:noProof/>
            <w:webHidden/>
          </w:rPr>
          <w:t>2</w:t>
        </w:r>
        <w:r w:rsidR="00AF1235" w:rsidRPr="00922029">
          <w:rPr>
            <w:rStyle w:val="Hyperlink"/>
            <w:rFonts w:ascii="IRBadr" w:hAnsi="IRBadr" w:cs="IRBadr"/>
            <w:noProof/>
            <w:rtl/>
          </w:rPr>
          <w:fldChar w:fldCharType="end"/>
        </w:r>
      </w:hyperlink>
    </w:p>
    <w:p w:rsidR="00AF1235" w:rsidRPr="00922029" w:rsidRDefault="006D0E78" w:rsidP="00AF1235">
      <w:pPr>
        <w:pStyle w:val="TOC3"/>
        <w:tabs>
          <w:tab w:val="right" w:leader="dot" w:pos="9350"/>
        </w:tabs>
        <w:rPr>
          <w:rFonts w:ascii="IRBadr" w:eastAsiaTheme="minorEastAsia" w:hAnsi="IRBadr" w:cs="IRBadr"/>
          <w:noProof/>
          <w:szCs w:val="22"/>
        </w:rPr>
      </w:pPr>
      <w:hyperlink w:anchor="_Toc427996463" w:history="1">
        <w:r w:rsidR="00AF1235" w:rsidRPr="00922029">
          <w:rPr>
            <w:rStyle w:val="Hyperlink"/>
            <w:rFonts w:ascii="IRBadr" w:hAnsi="IRBadr" w:cs="IRBadr"/>
            <w:noProof/>
            <w:rtl/>
          </w:rPr>
          <w:t>اتخاذ مبنا</w:t>
        </w:r>
        <w:r w:rsidR="00AF1235" w:rsidRPr="00922029">
          <w:rPr>
            <w:rFonts w:ascii="IRBadr" w:hAnsi="IRBadr" w:cs="IRBadr"/>
            <w:noProof/>
            <w:webHidden/>
          </w:rPr>
          <w:tab/>
        </w:r>
        <w:r w:rsidR="00AF1235" w:rsidRPr="00922029">
          <w:rPr>
            <w:rStyle w:val="Hyperlink"/>
            <w:rFonts w:ascii="IRBadr" w:hAnsi="IRBadr" w:cs="IRBadr"/>
            <w:noProof/>
            <w:rtl/>
          </w:rPr>
          <w:fldChar w:fldCharType="begin"/>
        </w:r>
        <w:r w:rsidR="00AF1235" w:rsidRPr="00922029">
          <w:rPr>
            <w:rFonts w:ascii="IRBadr" w:hAnsi="IRBadr" w:cs="IRBadr"/>
            <w:noProof/>
            <w:webHidden/>
          </w:rPr>
          <w:instrText xml:space="preserve"> PAGEREF _Toc427996463 \h </w:instrText>
        </w:r>
        <w:r w:rsidR="00AF1235" w:rsidRPr="00922029">
          <w:rPr>
            <w:rStyle w:val="Hyperlink"/>
            <w:rFonts w:ascii="IRBadr" w:hAnsi="IRBadr" w:cs="IRBadr"/>
            <w:noProof/>
            <w:rtl/>
          </w:rPr>
        </w:r>
        <w:r w:rsidR="00AF1235" w:rsidRPr="00922029">
          <w:rPr>
            <w:rStyle w:val="Hyperlink"/>
            <w:rFonts w:ascii="IRBadr" w:hAnsi="IRBadr" w:cs="IRBadr"/>
            <w:noProof/>
            <w:rtl/>
          </w:rPr>
          <w:fldChar w:fldCharType="separate"/>
        </w:r>
        <w:r w:rsidR="00AF1235" w:rsidRPr="00922029">
          <w:rPr>
            <w:rFonts w:ascii="IRBadr" w:hAnsi="IRBadr" w:cs="IRBadr"/>
            <w:noProof/>
            <w:webHidden/>
          </w:rPr>
          <w:t>2</w:t>
        </w:r>
        <w:r w:rsidR="00AF1235" w:rsidRPr="00922029">
          <w:rPr>
            <w:rStyle w:val="Hyperlink"/>
            <w:rFonts w:ascii="IRBadr" w:hAnsi="IRBadr" w:cs="IRBadr"/>
            <w:noProof/>
            <w:rtl/>
          </w:rPr>
          <w:fldChar w:fldCharType="end"/>
        </w:r>
      </w:hyperlink>
    </w:p>
    <w:p w:rsidR="00AF1235" w:rsidRPr="00922029" w:rsidRDefault="00AF1235" w:rsidP="00AF1235">
      <w:pPr>
        <w:bidi/>
        <w:jc w:val="both"/>
        <w:rPr>
          <w:rFonts w:ascii="IRBadr" w:hAnsi="IRBadr" w:cs="IRBadr"/>
          <w:sz w:val="28"/>
          <w:szCs w:val="28"/>
          <w:rtl/>
          <w:lang w:bidi="fa-IR"/>
        </w:rPr>
      </w:pPr>
      <w:r w:rsidRPr="00922029">
        <w:rPr>
          <w:rFonts w:ascii="IRBadr" w:hAnsi="IRBadr" w:cs="IRBadr"/>
          <w:sz w:val="28"/>
          <w:szCs w:val="28"/>
          <w:rtl/>
          <w:lang w:bidi="fa-IR"/>
        </w:rPr>
        <w:fldChar w:fldCharType="end"/>
      </w:r>
    </w:p>
    <w:p w:rsidR="00922029" w:rsidRDefault="00922029">
      <w:pPr>
        <w:spacing w:after="0" w:line="240" w:lineRule="auto"/>
        <w:rPr>
          <w:rFonts w:ascii="IRBadr" w:eastAsia="2  Lotus" w:hAnsi="IRBadr" w:cs="IRBadr"/>
          <w:bCs/>
          <w:sz w:val="28"/>
          <w:szCs w:val="44"/>
          <w:rtl/>
          <w:lang w:bidi="fa-IR"/>
        </w:rPr>
      </w:pPr>
      <w:bookmarkStart w:id="0" w:name="_Toc427996458"/>
      <w:r>
        <w:rPr>
          <w:rFonts w:ascii="IRBadr" w:hAnsi="IRBadr" w:cs="IRBadr"/>
          <w:rtl/>
        </w:rPr>
        <w:br w:type="page"/>
      </w:r>
    </w:p>
    <w:p w:rsidR="009D637A" w:rsidRPr="00922029" w:rsidRDefault="009D637A" w:rsidP="009D637A">
      <w:pPr>
        <w:pStyle w:val="Heading1"/>
        <w:rPr>
          <w:rFonts w:ascii="IRBadr" w:hAnsi="IRBadr" w:cs="IRBadr"/>
          <w:rtl/>
        </w:rPr>
      </w:pPr>
      <w:r w:rsidRPr="00922029">
        <w:rPr>
          <w:rFonts w:ascii="IRBadr" w:hAnsi="IRBadr" w:cs="IRBadr"/>
          <w:rtl/>
        </w:rPr>
        <w:lastRenderedPageBreak/>
        <w:t>حد ارتداد</w:t>
      </w:r>
      <w:bookmarkEnd w:id="0"/>
    </w:p>
    <w:p w:rsidR="009D637A" w:rsidRPr="00922029" w:rsidRDefault="009D637A" w:rsidP="009D637A">
      <w:pPr>
        <w:pStyle w:val="Heading1"/>
        <w:rPr>
          <w:rFonts w:ascii="IRBadr" w:hAnsi="IRBadr" w:cs="IRBadr"/>
          <w:rtl/>
        </w:rPr>
      </w:pPr>
      <w:bookmarkStart w:id="1" w:name="_Toc427996459"/>
      <w:r w:rsidRPr="00922029">
        <w:rPr>
          <w:rFonts w:ascii="IRBadr" w:hAnsi="IRBadr" w:cs="IRBadr"/>
          <w:rtl/>
        </w:rPr>
        <w:t>تشکیک در توحید یا نبوت</w:t>
      </w:r>
      <w:bookmarkEnd w:id="1"/>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در فرع جدید موضوع بحث این است که حکم فردی که به بحث و تشکیک در قبال خداوند می‌پردازد چیست؟</w:t>
      </w:r>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 xml:space="preserve">اگر نوع تشکیک او به صورتی است که با دلالت </w:t>
      </w:r>
      <w:r w:rsidR="00922029">
        <w:rPr>
          <w:rFonts w:ascii="IRBadr" w:hAnsi="IRBadr" w:cs="IRBadr"/>
          <w:sz w:val="28"/>
          <w:szCs w:val="28"/>
          <w:rtl/>
          <w:lang w:bidi="fa-IR"/>
        </w:rPr>
        <w:t>واضحه‌ای</w:t>
      </w:r>
      <w:r w:rsidRPr="00922029">
        <w:rPr>
          <w:rFonts w:ascii="IRBadr" w:hAnsi="IRBadr" w:cs="IRBadr"/>
          <w:sz w:val="28"/>
          <w:szCs w:val="28"/>
          <w:rtl/>
          <w:lang w:bidi="fa-IR"/>
        </w:rPr>
        <w:t xml:space="preserve"> اصل موضوع را زیر سؤال می‌برد، احکام ارتداد بر او ثابت خواهد بود اما در غیر این صورت این‌گونه نیست. به‌خصوص اینکه چون در باب حدود است لازم بوده که </w:t>
      </w:r>
      <w:r w:rsidR="00922029">
        <w:rPr>
          <w:rFonts w:ascii="IRBadr" w:hAnsi="IRBadr" w:cs="IRBadr"/>
          <w:sz w:val="28"/>
          <w:szCs w:val="28"/>
          <w:rtl/>
          <w:lang w:bidi="fa-IR"/>
        </w:rPr>
        <w:t>بنا بر</w:t>
      </w:r>
      <w:r w:rsidRPr="00922029">
        <w:rPr>
          <w:rFonts w:ascii="IRBadr" w:hAnsi="IRBadr" w:cs="IRBadr"/>
          <w:sz w:val="28"/>
          <w:szCs w:val="28"/>
          <w:rtl/>
          <w:lang w:bidi="fa-IR"/>
        </w:rPr>
        <w:t xml:space="preserve"> قاعده درع لزوماً دلالت به میزان وضوح خود برسد. بنابراین مواردی که در فضای علمی صورت می‌گیرد، از بحث خارج خواهد بود.</w:t>
      </w:r>
    </w:p>
    <w:p w:rsidR="009D637A" w:rsidRPr="00922029" w:rsidRDefault="009D637A" w:rsidP="009D637A">
      <w:pPr>
        <w:pStyle w:val="Heading2"/>
        <w:rPr>
          <w:rFonts w:ascii="IRBadr" w:hAnsi="IRBadr" w:cs="IRBadr"/>
          <w:rtl/>
        </w:rPr>
      </w:pPr>
      <w:bookmarkStart w:id="2" w:name="_Toc427996460"/>
      <w:r w:rsidRPr="00922029">
        <w:rPr>
          <w:rFonts w:ascii="IRBadr" w:hAnsi="IRBadr" w:cs="IRBadr"/>
          <w:rtl/>
        </w:rPr>
        <w:t>ارتداد در مجامع علمی</w:t>
      </w:r>
      <w:bookmarkEnd w:id="2"/>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موضوع فرع پنجم این است که آیا ارتداد در مجامع علمی با ارتداد در محیط‌های اجتماعی متفاوت است؟</w:t>
      </w:r>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ظاهر امر این است که اگر به خاطر شبهه واقعیه نباشد، تفاوتی بین این دو مقام وجود ندارد. هرچند که می‌توان گفت حالت ایجاد لشبهة واقعیة در مجامع علمی از جهتی بیشتر است. البته باید این ابراز و اظهار و به دنبال آن قصد او از رجوع احراز شود تا بشود احکام ارتداد را بر او ثابت نمود.</w:t>
      </w:r>
    </w:p>
    <w:p w:rsidR="009D637A" w:rsidRPr="00922029" w:rsidRDefault="009D637A" w:rsidP="009D637A">
      <w:pPr>
        <w:pStyle w:val="Heading2"/>
        <w:rPr>
          <w:rFonts w:ascii="IRBadr" w:hAnsi="IRBadr" w:cs="IRBadr"/>
          <w:rtl/>
        </w:rPr>
      </w:pPr>
      <w:bookmarkStart w:id="3" w:name="_Toc427996461"/>
      <w:r w:rsidRPr="00922029">
        <w:rPr>
          <w:rFonts w:ascii="IRBadr" w:hAnsi="IRBadr" w:cs="IRBadr"/>
          <w:rtl/>
        </w:rPr>
        <w:t>قصد در این مقام</w:t>
      </w:r>
      <w:bookmarkEnd w:id="3"/>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لذا موضوع قصد و احراز آن از تشخیص‌های معمول عرفی خارج است. و تشخیص و احراز این امر تابع شرایط محیطی و اوضاع است که ملازمه به‌دست‌آمده در قبال فرد به‌درستی و با صراحت لازم به‌دست‌آمده باشد.</w:t>
      </w:r>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به همین خاطر موارد هذل و اموری که قصد جدی بدان‌ها تعلق نمی‌گیرد از موضوع بحث خارج خواهند بود.</w:t>
      </w:r>
    </w:p>
    <w:p w:rsidR="009D637A" w:rsidRPr="00922029" w:rsidRDefault="009D637A" w:rsidP="009D637A">
      <w:pPr>
        <w:pStyle w:val="Heading3"/>
        <w:rPr>
          <w:rFonts w:ascii="IRBadr" w:hAnsi="IRBadr" w:cs="IRBadr"/>
          <w:rtl/>
        </w:rPr>
      </w:pPr>
      <w:bookmarkStart w:id="4" w:name="_Toc427996462"/>
      <w:r w:rsidRPr="00922029">
        <w:rPr>
          <w:rFonts w:ascii="IRBadr" w:hAnsi="IRBadr" w:cs="IRBadr"/>
          <w:rtl/>
        </w:rPr>
        <w:t>تعمیم معنای ارتداد</w:t>
      </w:r>
      <w:bookmarkEnd w:id="4"/>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موضع انسان در قبال هر امری یکی از این موارد است؛ اثبات، نفی یا شک.</w:t>
      </w:r>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به دنبال این موضع او در قبال مسائل اعتقادی نیز در ذیل یکی از این موارد جای می‌گیرد. با توجه به این امر، این سؤال وجود دارد که ایمان و کفر در مقابل یکدیگر قرار دارند، آیا ارتداد به معنای اعم انکار بوده و تردید را نیز دربر می‌گیرد؟</w:t>
      </w:r>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lastRenderedPageBreak/>
        <w:t>اینکه بین ایمان و کفر واسطه‌ای وجود دارد، دو وجه موجود است. طبق یک احتمال رابطه این دو ملکه و عدم آن و طبق احتمال دیگر این رابطه ضدیت خواهد بود که در حالت اول فرد کافر و مرتد به‌حساب می‌آید.</w:t>
      </w:r>
    </w:p>
    <w:p w:rsidR="009D637A" w:rsidRPr="00922029" w:rsidRDefault="009D637A" w:rsidP="009D637A">
      <w:pPr>
        <w:pStyle w:val="Heading3"/>
        <w:rPr>
          <w:rFonts w:ascii="IRBadr" w:hAnsi="IRBadr" w:cs="IRBadr"/>
          <w:rtl/>
        </w:rPr>
      </w:pPr>
      <w:bookmarkStart w:id="5" w:name="_Toc427996463"/>
      <w:bookmarkStart w:id="6" w:name="_GoBack"/>
      <w:bookmarkEnd w:id="6"/>
      <w:r w:rsidRPr="00922029">
        <w:rPr>
          <w:rFonts w:ascii="IRBadr" w:hAnsi="IRBadr" w:cs="IRBadr"/>
          <w:rtl/>
        </w:rPr>
        <w:t>اتخاذ مبنا</w:t>
      </w:r>
      <w:bookmarkEnd w:id="5"/>
    </w:p>
    <w:p w:rsidR="009D637A" w:rsidRPr="00922029" w:rsidRDefault="009D637A" w:rsidP="009D637A">
      <w:pPr>
        <w:bidi/>
        <w:jc w:val="both"/>
        <w:rPr>
          <w:rFonts w:ascii="IRBadr" w:hAnsi="IRBadr" w:cs="IRBadr"/>
          <w:sz w:val="28"/>
          <w:szCs w:val="28"/>
          <w:rtl/>
          <w:lang w:bidi="fa-IR"/>
        </w:rPr>
      </w:pPr>
      <w:r w:rsidRPr="00922029">
        <w:rPr>
          <w:rFonts w:ascii="IRBadr" w:hAnsi="IRBadr" w:cs="IRBadr"/>
          <w:sz w:val="28"/>
          <w:szCs w:val="28"/>
          <w:rtl/>
          <w:lang w:bidi="fa-IR"/>
        </w:rPr>
        <w:t>در پاسخ به این سؤال ممکن است گفته شود که شک را دربر نمی‌گیرد چراکه تردید از موارد شبهه واقعیه است.</w:t>
      </w:r>
    </w:p>
    <w:p w:rsidR="009D637A" w:rsidRPr="00922029" w:rsidRDefault="009D637A" w:rsidP="009D637A">
      <w:pPr>
        <w:bidi/>
        <w:jc w:val="both"/>
        <w:rPr>
          <w:rFonts w:ascii="IRBadr" w:hAnsi="IRBadr" w:cs="IRBadr"/>
          <w:sz w:val="28"/>
          <w:szCs w:val="28"/>
          <w:rtl/>
          <w:lang w:bidi="fa-IR"/>
        </w:rPr>
      </w:pPr>
    </w:p>
    <w:p w:rsidR="009D637A" w:rsidRPr="00922029" w:rsidRDefault="009D637A" w:rsidP="009D637A">
      <w:pPr>
        <w:bidi/>
        <w:jc w:val="both"/>
        <w:rPr>
          <w:rFonts w:ascii="IRBadr" w:hAnsi="IRBadr" w:cs="IRBadr"/>
          <w:sz w:val="28"/>
          <w:szCs w:val="28"/>
          <w:rtl/>
          <w:lang w:bidi="fa-IR"/>
        </w:rPr>
      </w:pPr>
    </w:p>
    <w:p w:rsidR="00152670" w:rsidRPr="00922029" w:rsidRDefault="00152670" w:rsidP="00734D59">
      <w:pPr>
        <w:bidi/>
        <w:rPr>
          <w:rFonts w:ascii="IRBadr" w:hAnsi="IRBadr" w:cs="IRBadr"/>
          <w:rtl/>
          <w:lang w:bidi="fa-IR"/>
        </w:rPr>
      </w:pPr>
    </w:p>
    <w:sectPr w:rsidR="00152670" w:rsidRPr="0092202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78" w:rsidRDefault="006D0E78" w:rsidP="000D5800">
      <w:pPr>
        <w:spacing w:after="0" w:line="240" w:lineRule="auto"/>
      </w:pPr>
      <w:r>
        <w:separator/>
      </w:r>
    </w:p>
  </w:endnote>
  <w:endnote w:type="continuationSeparator" w:id="0">
    <w:p w:rsidR="006D0E78" w:rsidRDefault="006D0E7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78" w:rsidRDefault="006D0E78" w:rsidP="000D5800">
      <w:pPr>
        <w:spacing w:after="0" w:line="240" w:lineRule="auto"/>
      </w:pPr>
      <w:r>
        <w:separator/>
      </w:r>
    </w:p>
  </w:footnote>
  <w:footnote w:type="continuationSeparator" w:id="0">
    <w:p w:rsidR="006D0E78" w:rsidRDefault="006D0E78"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D" w:rsidRPr="00922029" w:rsidRDefault="000D5800" w:rsidP="00922029">
    <w:pPr>
      <w:tabs>
        <w:tab w:val="left" w:pos="1256"/>
        <w:tab w:val="left" w:pos="5696"/>
        <w:tab w:val="right" w:pos="9071"/>
      </w:tabs>
      <w:bidi/>
      <w:rPr>
        <w:rFonts w:hint="cs"/>
        <w:b/>
        <w:bCs/>
        <w:sz w:val="32"/>
        <w:lang w:bidi="fa-IR"/>
      </w:rPr>
    </w:pPr>
    <w:r>
      <w:rPr>
        <w:noProof/>
        <w:lang w:bidi="fa-IR"/>
      </w:rPr>
      <mc:AlternateContent>
        <mc:Choice Requires="wps">
          <w:drawing>
            <wp:anchor distT="4294967292" distB="4294967292" distL="114300" distR="114300" simplePos="0" relativeHeight="251659264" behindDoc="0" locked="0" layoutInCell="1" allowOverlap="1" wp14:anchorId="7C63DC88" wp14:editId="1E1052B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4F5F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7" w:name="OLE_LINK1"/>
    <w:bookmarkStart w:id="8" w:name="OLE_LINK2"/>
    <w:r>
      <w:rPr>
        <w:noProof/>
        <w:lang w:bidi="fa-IR"/>
      </w:rPr>
      <w:drawing>
        <wp:inline distT="0" distB="0" distL="0" distR="0" wp14:anchorId="7341A29F" wp14:editId="3808A8C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7"/>
    <w:bookmarkEnd w:id="8"/>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D637A">
      <w:rPr>
        <w:rFonts w:ascii="IranNastaliq" w:hAnsi="IranNastaliq" w:cs="IranNastaliq" w:hint="cs"/>
        <w:sz w:val="40"/>
        <w:szCs w:val="40"/>
        <w:rtl/>
        <w:lang w:bidi="fa-IR"/>
      </w:rPr>
      <w:t>947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0E78"/>
    <w:rsid w:val="006D3A87"/>
    <w:rsid w:val="006F01B4"/>
    <w:rsid w:val="00713B7E"/>
    <w:rsid w:val="00734D59"/>
    <w:rsid w:val="0073609B"/>
    <w:rsid w:val="00746F03"/>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2029"/>
    <w:rsid w:val="00927388"/>
    <w:rsid w:val="009274FE"/>
    <w:rsid w:val="00931FC7"/>
    <w:rsid w:val="00935E91"/>
    <w:rsid w:val="009401AC"/>
    <w:rsid w:val="009515C3"/>
    <w:rsid w:val="009541DD"/>
    <w:rsid w:val="009613AC"/>
    <w:rsid w:val="00980643"/>
    <w:rsid w:val="009B46BC"/>
    <w:rsid w:val="009B61C3"/>
    <w:rsid w:val="009C7B4F"/>
    <w:rsid w:val="009D637A"/>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1235"/>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AF1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AF1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CBA6-F68F-4FBE-AA5F-9EF9AAEF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98</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54</cp:revision>
  <dcterms:created xsi:type="dcterms:W3CDTF">2014-12-20T10:23:00Z</dcterms:created>
  <dcterms:modified xsi:type="dcterms:W3CDTF">2015-08-22T08:21:00Z</dcterms:modified>
</cp:coreProperties>
</file>