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5A" w:rsidRPr="002F3184" w:rsidRDefault="008673B6" w:rsidP="005F115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F3184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5F115A" w:rsidRPr="002F3184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</w:p>
    <w:p w:rsidR="008115E3" w:rsidRPr="002F3184" w:rsidRDefault="008115E3" w:rsidP="008115E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F3184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8115E3" w:rsidRPr="002F3184" w:rsidRDefault="008115E3" w:rsidP="008115E3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2F3184">
        <w:rPr>
          <w:rFonts w:ascii="IRBadr" w:hAnsi="IRBadr" w:cs="IRBadr"/>
          <w:sz w:val="28"/>
          <w:rtl/>
        </w:rPr>
        <w:fldChar w:fldCharType="begin"/>
      </w:r>
      <w:r w:rsidRPr="002F3184">
        <w:rPr>
          <w:rFonts w:ascii="IRBadr" w:hAnsi="IRBadr" w:cs="IRBadr"/>
          <w:sz w:val="28"/>
          <w:rtl/>
        </w:rPr>
        <w:instrText xml:space="preserve"> </w:instrText>
      </w:r>
      <w:r w:rsidRPr="002F3184">
        <w:rPr>
          <w:rFonts w:ascii="IRBadr" w:hAnsi="IRBadr" w:cs="IRBadr"/>
          <w:sz w:val="28"/>
        </w:rPr>
        <w:instrText>TOC</w:instrText>
      </w:r>
      <w:r w:rsidRPr="002F3184">
        <w:rPr>
          <w:rFonts w:ascii="IRBadr" w:hAnsi="IRBadr" w:cs="IRBadr"/>
          <w:sz w:val="28"/>
          <w:rtl/>
        </w:rPr>
        <w:instrText xml:space="preserve"> \</w:instrText>
      </w:r>
      <w:r w:rsidRPr="002F3184">
        <w:rPr>
          <w:rFonts w:ascii="IRBadr" w:hAnsi="IRBadr" w:cs="IRBadr"/>
          <w:sz w:val="28"/>
        </w:rPr>
        <w:instrText>o "</w:instrText>
      </w:r>
      <w:r w:rsidRPr="002F3184">
        <w:rPr>
          <w:rFonts w:ascii="IRBadr" w:hAnsi="IRBadr" w:cs="IRBadr"/>
          <w:sz w:val="28"/>
          <w:rtl/>
        </w:rPr>
        <w:instrText>1-4</w:instrText>
      </w:r>
      <w:r w:rsidRPr="002F3184">
        <w:rPr>
          <w:rFonts w:ascii="IRBadr" w:hAnsi="IRBadr" w:cs="IRBadr"/>
          <w:sz w:val="28"/>
        </w:rPr>
        <w:instrText>" \h \z \u</w:instrText>
      </w:r>
      <w:r w:rsidRPr="002F3184">
        <w:rPr>
          <w:rFonts w:ascii="IRBadr" w:hAnsi="IRBadr" w:cs="IRBadr"/>
          <w:sz w:val="28"/>
          <w:rtl/>
        </w:rPr>
        <w:instrText xml:space="preserve"> </w:instrText>
      </w:r>
      <w:r w:rsidRPr="002F3184">
        <w:rPr>
          <w:rFonts w:ascii="IRBadr" w:hAnsi="IRBadr" w:cs="IRBadr"/>
          <w:sz w:val="28"/>
          <w:rtl/>
        </w:rPr>
        <w:fldChar w:fldCharType="separate"/>
      </w:r>
      <w:hyperlink w:anchor="_Toc428090709" w:history="1">
        <w:r w:rsidRPr="002F3184">
          <w:rPr>
            <w:rStyle w:val="Hyperlink"/>
            <w:rFonts w:ascii="IRBadr" w:hAnsi="IRBadr" w:cs="IRBadr"/>
            <w:noProof/>
            <w:rtl/>
          </w:rPr>
          <w:t>حد ارتداد</w:t>
        </w:r>
        <w:r w:rsidRPr="002F3184">
          <w:rPr>
            <w:rFonts w:ascii="IRBadr" w:hAnsi="IRBadr" w:cs="IRBadr"/>
            <w:noProof/>
            <w:webHidden/>
          </w:rPr>
          <w:tab/>
        </w:r>
        <w:r w:rsidRPr="002F3184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2F3184">
          <w:rPr>
            <w:rFonts w:ascii="IRBadr" w:hAnsi="IRBadr" w:cs="IRBadr"/>
            <w:noProof/>
            <w:webHidden/>
          </w:rPr>
          <w:instrText xml:space="preserve"> PAGEREF _Toc428090709 \h </w:instrText>
        </w:r>
        <w:r w:rsidRPr="002F3184">
          <w:rPr>
            <w:rStyle w:val="Hyperlink"/>
            <w:rFonts w:ascii="IRBadr" w:hAnsi="IRBadr" w:cs="IRBadr"/>
            <w:noProof/>
            <w:rtl/>
          </w:rPr>
        </w:r>
        <w:r w:rsidRPr="002F3184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2F3184">
          <w:rPr>
            <w:rFonts w:ascii="IRBadr" w:hAnsi="IRBadr" w:cs="IRBadr"/>
            <w:noProof/>
            <w:webHidden/>
          </w:rPr>
          <w:t>1</w:t>
        </w:r>
        <w:r w:rsidRPr="002F3184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8115E3" w:rsidRPr="002F3184" w:rsidRDefault="00032438" w:rsidP="008115E3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090710" w:history="1">
        <w:r w:rsidR="008115E3" w:rsidRPr="002F3184">
          <w:rPr>
            <w:rStyle w:val="Hyperlink"/>
            <w:rFonts w:ascii="IRBadr" w:hAnsi="IRBadr" w:cs="IRBadr"/>
            <w:noProof/>
            <w:rtl/>
          </w:rPr>
          <w:t>مراد از کفر</w:t>
        </w:r>
        <w:r w:rsidR="008115E3" w:rsidRPr="002F3184">
          <w:rPr>
            <w:rFonts w:ascii="IRBadr" w:hAnsi="IRBadr" w:cs="IRBadr"/>
            <w:noProof/>
            <w:webHidden/>
          </w:rPr>
          <w:tab/>
        </w:r>
        <w:r w:rsidR="008115E3" w:rsidRPr="002F3184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8115E3" w:rsidRPr="002F3184">
          <w:rPr>
            <w:rFonts w:ascii="IRBadr" w:hAnsi="IRBadr" w:cs="IRBadr"/>
            <w:noProof/>
            <w:webHidden/>
          </w:rPr>
          <w:instrText xml:space="preserve"> PAGEREF _Toc428090710 \h </w:instrText>
        </w:r>
        <w:r w:rsidR="008115E3" w:rsidRPr="002F3184">
          <w:rPr>
            <w:rStyle w:val="Hyperlink"/>
            <w:rFonts w:ascii="IRBadr" w:hAnsi="IRBadr" w:cs="IRBadr"/>
            <w:noProof/>
            <w:rtl/>
          </w:rPr>
        </w:r>
        <w:r w:rsidR="008115E3" w:rsidRPr="002F3184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8115E3" w:rsidRPr="002F3184">
          <w:rPr>
            <w:rFonts w:ascii="IRBadr" w:hAnsi="IRBadr" w:cs="IRBadr"/>
            <w:noProof/>
            <w:webHidden/>
          </w:rPr>
          <w:t>1</w:t>
        </w:r>
        <w:r w:rsidR="008115E3" w:rsidRPr="002F3184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8115E3" w:rsidRPr="002F3184" w:rsidRDefault="00032438" w:rsidP="008115E3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090711" w:history="1">
        <w:r w:rsidR="008115E3" w:rsidRPr="002F3184">
          <w:rPr>
            <w:rStyle w:val="Hyperlink"/>
            <w:rFonts w:ascii="IRBadr" w:hAnsi="IRBadr" w:cs="IRBadr"/>
            <w:noProof/>
            <w:rtl/>
          </w:rPr>
          <w:t>مستند بحث</w:t>
        </w:r>
        <w:r w:rsidR="008115E3" w:rsidRPr="002F3184">
          <w:rPr>
            <w:rFonts w:ascii="IRBadr" w:hAnsi="IRBadr" w:cs="IRBadr"/>
            <w:noProof/>
            <w:webHidden/>
          </w:rPr>
          <w:tab/>
        </w:r>
        <w:r w:rsidR="008115E3" w:rsidRPr="002F3184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8115E3" w:rsidRPr="002F3184">
          <w:rPr>
            <w:rFonts w:ascii="IRBadr" w:hAnsi="IRBadr" w:cs="IRBadr"/>
            <w:noProof/>
            <w:webHidden/>
          </w:rPr>
          <w:instrText xml:space="preserve"> PAGEREF _Toc428090711 \h </w:instrText>
        </w:r>
        <w:r w:rsidR="008115E3" w:rsidRPr="002F3184">
          <w:rPr>
            <w:rStyle w:val="Hyperlink"/>
            <w:rFonts w:ascii="IRBadr" w:hAnsi="IRBadr" w:cs="IRBadr"/>
            <w:noProof/>
            <w:rtl/>
          </w:rPr>
        </w:r>
        <w:r w:rsidR="008115E3" w:rsidRPr="002F3184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8115E3" w:rsidRPr="002F3184">
          <w:rPr>
            <w:rFonts w:ascii="IRBadr" w:hAnsi="IRBadr" w:cs="IRBadr"/>
            <w:noProof/>
            <w:webHidden/>
          </w:rPr>
          <w:t>1</w:t>
        </w:r>
        <w:r w:rsidR="008115E3" w:rsidRPr="002F3184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8115E3" w:rsidRPr="002F3184" w:rsidRDefault="00032438" w:rsidP="008115E3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090712" w:history="1">
        <w:r w:rsidR="008115E3" w:rsidRPr="002F3184">
          <w:rPr>
            <w:rStyle w:val="Hyperlink"/>
            <w:rFonts w:ascii="IRBadr" w:hAnsi="IRBadr" w:cs="IRBadr"/>
            <w:noProof/>
            <w:rtl/>
          </w:rPr>
          <w:t>جمع‌بندی</w:t>
        </w:r>
        <w:r w:rsidR="008115E3" w:rsidRPr="002F3184">
          <w:rPr>
            <w:rFonts w:ascii="IRBadr" w:hAnsi="IRBadr" w:cs="IRBadr"/>
            <w:noProof/>
            <w:webHidden/>
          </w:rPr>
          <w:tab/>
        </w:r>
        <w:r w:rsidR="008115E3" w:rsidRPr="002F3184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8115E3" w:rsidRPr="002F3184">
          <w:rPr>
            <w:rFonts w:ascii="IRBadr" w:hAnsi="IRBadr" w:cs="IRBadr"/>
            <w:noProof/>
            <w:webHidden/>
          </w:rPr>
          <w:instrText xml:space="preserve"> PAGEREF _Toc428090712 \h </w:instrText>
        </w:r>
        <w:r w:rsidR="008115E3" w:rsidRPr="002F3184">
          <w:rPr>
            <w:rStyle w:val="Hyperlink"/>
            <w:rFonts w:ascii="IRBadr" w:hAnsi="IRBadr" w:cs="IRBadr"/>
            <w:noProof/>
            <w:rtl/>
          </w:rPr>
        </w:r>
        <w:r w:rsidR="008115E3" w:rsidRPr="002F3184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8115E3" w:rsidRPr="002F3184">
          <w:rPr>
            <w:rFonts w:ascii="IRBadr" w:hAnsi="IRBadr" w:cs="IRBadr"/>
            <w:noProof/>
            <w:webHidden/>
          </w:rPr>
          <w:t>3</w:t>
        </w:r>
        <w:r w:rsidR="008115E3" w:rsidRPr="002F3184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8115E3" w:rsidRPr="002F3184" w:rsidRDefault="00032438" w:rsidP="008115E3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090713" w:history="1">
        <w:r w:rsidR="008115E3" w:rsidRPr="002F3184">
          <w:rPr>
            <w:rStyle w:val="Hyperlink"/>
            <w:rFonts w:ascii="IRBadr" w:hAnsi="IRBadr" w:cs="IRBadr"/>
            <w:noProof/>
            <w:rtl/>
          </w:rPr>
          <w:t>شرایط ارتداد</w:t>
        </w:r>
        <w:r w:rsidR="008115E3" w:rsidRPr="002F3184">
          <w:rPr>
            <w:rFonts w:ascii="IRBadr" w:hAnsi="IRBadr" w:cs="IRBadr"/>
            <w:noProof/>
            <w:webHidden/>
          </w:rPr>
          <w:tab/>
        </w:r>
        <w:r w:rsidR="008115E3" w:rsidRPr="002F3184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8115E3" w:rsidRPr="002F3184">
          <w:rPr>
            <w:rFonts w:ascii="IRBadr" w:hAnsi="IRBadr" w:cs="IRBadr"/>
            <w:noProof/>
            <w:webHidden/>
          </w:rPr>
          <w:instrText xml:space="preserve"> PAGEREF _Toc428090713 \h </w:instrText>
        </w:r>
        <w:r w:rsidR="008115E3" w:rsidRPr="002F3184">
          <w:rPr>
            <w:rStyle w:val="Hyperlink"/>
            <w:rFonts w:ascii="IRBadr" w:hAnsi="IRBadr" w:cs="IRBadr"/>
            <w:noProof/>
            <w:rtl/>
          </w:rPr>
        </w:r>
        <w:r w:rsidR="008115E3" w:rsidRPr="002F3184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8115E3" w:rsidRPr="002F3184">
          <w:rPr>
            <w:rFonts w:ascii="IRBadr" w:hAnsi="IRBadr" w:cs="IRBadr"/>
            <w:noProof/>
            <w:webHidden/>
          </w:rPr>
          <w:t>3</w:t>
        </w:r>
        <w:r w:rsidR="008115E3" w:rsidRPr="002F3184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8115E3" w:rsidRPr="002F3184" w:rsidRDefault="00032438" w:rsidP="008115E3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8090714" w:history="1">
        <w:r w:rsidR="008115E3" w:rsidRPr="002F3184">
          <w:rPr>
            <w:rStyle w:val="Hyperlink"/>
            <w:rFonts w:ascii="IRBadr" w:hAnsi="IRBadr" w:cs="IRBadr"/>
            <w:noProof/>
            <w:rtl/>
          </w:rPr>
          <w:t>روایت غضب</w:t>
        </w:r>
        <w:r w:rsidR="008115E3" w:rsidRPr="002F3184">
          <w:rPr>
            <w:rFonts w:ascii="IRBadr" w:hAnsi="IRBadr" w:cs="IRBadr"/>
            <w:noProof/>
            <w:webHidden/>
          </w:rPr>
          <w:tab/>
        </w:r>
        <w:r w:rsidR="008115E3" w:rsidRPr="002F3184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8115E3" w:rsidRPr="002F3184">
          <w:rPr>
            <w:rFonts w:ascii="IRBadr" w:hAnsi="IRBadr" w:cs="IRBadr"/>
            <w:noProof/>
            <w:webHidden/>
          </w:rPr>
          <w:instrText xml:space="preserve"> PAGEREF _Toc428090714 \h </w:instrText>
        </w:r>
        <w:r w:rsidR="008115E3" w:rsidRPr="002F3184">
          <w:rPr>
            <w:rStyle w:val="Hyperlink"/>
            <w:rFonts w:ascii="IRBadr" w:hAnsi="IRBadr" w:cs="IRBadr"/>
            <w:noProof/>
            <w:rtl/>
          </w:rPr>
        </w:r>
        <w:r w:rsidR="008115E3" w:rsidRPr="002F3184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8115E3" w:rsidRPr="002F3184">
          <w:rPr>
            <w:rFonts w:ascii="IRBadr" w:hAnsi="IRBadr" w:cs="IRBadr"/>
            <w:noProof/>
            <w:webHidden/>
          </w:rPr>
          <w:t>3</w:t>
        </w:r>
        <w:r w:rsidR="008115E3" w:rsidRPr="002F3184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8115E3" w:rsidRPr="002F3184" w:rsidRDefault="00032438" w:rsidP="008115E3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8090715" w:history="1">
        <w:r w:rsidR="008115E3" w:rsidRPr="002F3184">
          <w:rPr>
            <w:rStyle w:val="Hyperlink"/>
            <w:rFonts w:ascii="IRBadr" w:hAnsi="IRBadr" w:cs="IRBadr"/>
            <w:noProof/>
            <w:rtl/>
          </w:rPr>
          <w:t>برگشت از اظهار در ارتداد</w:t>
        </w:r>
        <w:r w:rsidR="008115E3" w:rsidRPr="002F3184">
          <w:rPr>
            <w:rFonts w:ascii="IRBadr" w:hAnsi="IRBadr" w:cs="IRBadr"/>
            <w:noProof/>
            <w:webHidden/>
          </w:rPr>
          <w:tab/>
        </w:r>
        <w:r w:rsidR="008115E3" w:rsidRPr="002F3184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8115E3" w:rsidRPr="002F3184">
          <w:rPr>
            <w:rFonts w:ascii="IRBadr" w:hAnsi="IRBadr" w:cs="IRBadr"/>
            <w:noProof/>
            <w:webHidden/>
          </w:rPr>
          <w:instrText xml:space="preserve"> PAGEREF _Toc428090715 \h </w:instrText>
        </w:r>
        <w:r w:rsidR="008115E3" w:rsidRPr="002F3184">
          <w:rPr>
            <w:rStyle w:val="Hyperlink"/>
            <w:rFonts w:ascii="IRBadr" w:hAnsi="IRBadr" w:cs="IRBadr"/>
            <w:noProof/>
            <w:rtl/>
          </w:rPr>
        </w:r>
        <w:r w:rsidR="008115E3" w:rsidRPr="002F3184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8115E3" w:rsidRPr="002F3184">
          <w:rPr>
            <w:rFonts w:ascii="IRBadr" w:hAnsi="IRBadr" w:cs="IRBadr"/>
            <w:noProof/>
            <w:webHidden/>
          </w:rPr>
          <w:t>4</w:t>
        </w:r>
        <w:r w:rsidR="008115E3" w:rsidRPr="002F3184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8115E3" w:rsidRPr="002F3184" w:rsidRDefault="008115E3" w:rsidP="008115E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F3184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2F3184" w:rsidRPr="002F3184" w:rsidRDefault="002F3184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0" w:name="_Toc428090709"/>
      <w:r w:rsidRPr="002F3184">
        <w:rPr>
          <w:rFonts w:ascii="IRBadr" w:hAnsi="IRBadr" w:cs="IRBadr"/>
          <w:rtl/>
        </w:rPr>
        <w:br w:type="page"/>
      </w:r>
    </w:p>
    <w:p w:rsidR="005F115A" w:rsidRPr="002F3184" w:rsidRDefault="005F115A" w:rsidP="005F115A">
      <w:pPr>
        <w:pStyle w:val="Heading1"/>
        <w:rPr>
          <w:rFonts w:ascii="IRBadr" w:hAnsi="IRBadr" w:cs="IRBadr"/>
          <w:rtl/>
        </w:rPr>
      </w:pPr>
      <w:r w:rsidRPr="002F3184">
        <w:rPr>
          <w:rFonts w:ascii="IRBadr" w:hAnsi="IRBadr" w:cs="IRBadr"/>
          <w:rtl/>
        </w:rPr>
        <w:lastRenderedPageBreak/>
        <w:t>حد ارتداد</w:t>
      </w:r>
      <w:bookmarkEnd w:id="0"/>
    </w:p>
    <w:p w:rsidR="005F115A" w:rsidRPr="002F3184" w:rsidRDefault="005F115A" w:rsidP="005F115A">
      <w:pPr>
        <w:pStyle w:val="Heading1"/>
        <w:rPr>
          <w:rFonts w:ascii="IRBadr" w:hAnsi="IRBadr" w:cs="IRBadr"/>
          <w:rtl/>
        </w:rPr>
      </w:pPr>
      <w:bookmarkStart w:id="1" w:name="_Toc428090710"/>
      <w:r w:rsidRPr="002F3184">
        <w:rPr>
          <w:rFonts w:ascii="IRBadr" w:hAnsi="IRBadr" w:cs="IRBadr"/>
          <w:rtl/>
        </w:rPr>
        <w:t>مراد از کفر</w:t>
      </w:r>
      <w:bookmarkEnd w:id="1"/>
    </w:p>
    <w:p w:rsidR="005F115A" w:rsidRPr="002F3184" w:rsidRDefault="005F115A" w:rsidP="005F115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در این تردیدی نیست که کفر انکار رسالت و توحید را دربر 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>.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 اینکه معاد نیز 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>بدان‌ها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 ملحق 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>،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 xml:space="preserve"> محل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 اختلاف است.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 xml:space="preserve"> معمول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 فقها در این رابطه 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 معاد به دو مورد دیگر ملحق 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 اما آقای خویی آن را 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 ضروری دین 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>می‌پذیرد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5F115A" w:rsidRPr="002F3184" w:rsidRDefault="005F115A" w:rsidP="005F115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ظاهر کلام بسیاری این است که انکار ضروری بما هو هو موجب کفر 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>، اما نظر برخی از محققین این است که اگر این انکار به انکار رسالت یا توحید برسد،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 xml:space="preserve"> موجب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 کفر خواهد شد.</w:t>
      </w:r>
    </w:p>
    <w:p w:rsidR="005F115A" w:rsidRPr="002F3184" w:rsidRDefault="005F115A" w:rsidP="005F115A">
      <w:pPr>
        <w:pStyle w:val="Heading1"/>
        <w:rPr>
          <w:rFonts w:ascii="IRBadr" w:hAnsi="IRBadr" w:cs="IRBadr"/>
          <w:rtl/>
        </w:rPr>
      </w:pPr>
      <w:bookmarkStart w:id="2" w:name="_Toc428090711"/>
      <w:r w:rsidRPr="002F3184">
        <w:rPr>
          <w:rFonts w:ascii="IRBadr" w:hAnsi="IRBadr" w:cs="IRBadr"/>
          <w:rtl/>
        </w:rPr>
        <w:t>مستند بحث</w:t>
      </w:r>
      <w:bookmarkEnd w:id="2"/>
    </w:p>
    <w:p w:rsidR="005F115A" w:rsidRPr="002F3184" w:rsidRDefault="005F115A" w:rsidP="005F115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F3184">
        <w:rPr>
          <w:rFonts w:ascii="IRBadr" w:hAnsi="IRBadr" w:cs="IRBadr"/>
          <w:sz w:val="28"/>
          <w:szCs w:val="28"/>
          <w:rtl/>
          <w:lang w:bidi="fa-IR"/>
        </w:rPr>
        <w:t>ممکن است به این روایت برای موارد تردید در ضروریات دین تکیه شود که این حدیث در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جلد هیجده، ابواب حد مرتد، باب پنجم، حدیث چهارم 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>و صفحه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 پانصد و 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>پنجاه‌ویک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 است؛</w:t>
      </w:r>
    </w:p>
    <w:p w:rsidR="005F115A" w:rsidRPr="002F3184" w:rsidRDefault="005F115A" w:rsidP="005F115A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«عَلِ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بْنُ إِبْرَاهِ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مَ عَنْ مُحَمَّدِ بْنِ عِ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سَ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عَبْدِ الرَّحْمَنِ الْأَبْزَارِ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نَاسِ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عَنِ الْحَارِثِ بْنِ الْمُغِ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رَةِ قَالَ: قُلْتُ لِأَبِ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عَبْدِ اللَّهِ ع أَ رَأَ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تَ لَوْ أَنَّ رَجُلًا أَتَ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النَّبِ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ص فَقَالَ وَ اللَّهِ مَا أَدْرِ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أَ نَبِ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أَنْتَ أَمْ لَا 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انَ 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قْبَلُ مِنْهُ قَالَ لَا وَ لَ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نْ 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انَ 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قْتُلُهُ إِنَّهُ لَوْ قَبِلَ ذَلِ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مِنْهُ مَا أَسْلَمَ مُنَافِقٌ أَبَداً.» 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1"/>
      </w:r>
    </w:p>
    <w:p w:rsidR="005F115A" w:rsidRPr="002F3184" w:rsidRDefault="005F115A" w:rsidP="005F115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F3184">
        <w:rPr>
          <w:rFonts w:ascii="IRBadr" w:hAnsi="IRBadr" w:cs="IRBadr"/>
          <w:sz w:val="28"/>
          <w:szCs w:val="28"/>
          <w:rtl/>
          <w:lang w:bidi="fa-IR"/>
        </w:rPr>
        <w:t>اما این روایت به خاطر عبدالرحمان که دارای توثیقی نیست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و محمد بن عیسی که محل اختلاف بود، 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>مبتلابه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 ضعف است. غالباً مستند این بحث نوعی از سیره،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 xml:space="preserve"> ارتکاز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>و اجماع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 بر این </w:t>
      </w:r>
      <w:r w:rsidR="003971B0"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 xml:space="preserve"> ظاهر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>ادله‌ای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 که در این باب وجود دارد،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 است که گفته شود کفر عدم قبول است و موارد تردید را دربر 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>نمی‌گیرد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. علت آن نیز قاعده درع و روایاتی است که در این باب 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 و موارد تردید را دربر 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>نمی‌گیرد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>،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 xml:space="preserve"> همانند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 این حدیث که 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>می‌فرماید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5F115A" w:rsidRPr="002F3184" w:rsidRDefault="005F115A" w:rsidP="005F115A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«یَحْ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أَحْمَدَ بْنِ مُحَمَّدٍ جَمِ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عاً عَنِ ابْنِ مَحْبُوبٍ عَنْ هِشَامِ بْنِ سَالِمٍ عَنْ عَمَّارٍ السَّابَاطِ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قَالَ سَمِعْتُ أَبَا عَبْدِ اللَّهِ ع 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قُولُ 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لُّ مُسْلِمٍ بَ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نَ مُسْلِمَ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نِ ارْتَدَّ عَنِ الْإِسْلَامِ وَ جَحَدَ مُحَمَّداً ص نُبُوَّتَهُ وَ 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ذَّبَهُ فَإِنَّ دَمَهُ مُبَاحٌ لِ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لِّ مَنْ سَمِعَ ذَلِ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مِنْهُ وَ 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امْرَأَتَهُ بَائِنَةٌ مِنْهُ 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وْمَ ارْتَدَّ فَلَا تَقْرَبْهُ وَ 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قْسَمُ مَالُهُ عَلَ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وَرَثَتِهِ وَ تَعْتَدُّ امْرَأَتُهُ [بَعْدُ] عِدَّةَ الْمُتَوَفَّ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عَنْهَا 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زوج‌ها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 عَلَ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الْإِمَامِ أَنْ 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قْتُلَهُ وَ لَا 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سْتَتِ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بَهُ.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2"/>
      </w:r>
    </w:p>
    <w:p w:rsidR="005F115A" w:rsidRPr="002F3184" w:rsidRDefault="005F115A" w:rsidP="005F115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F3184">
        <w:rPr>
          <w:rFonts w:ascii="IRBadr" w:hAnsi="IRBadr" w:cs="IRBadr"/>
          <w:sz w:val="28"/>
          <w:szCs w:val="28"/>
          <w:rtl/>
          <w:lang w:bidi="fa-IR"/>
        </w:rPr>
        <w:t>در اینجا از لفظ تکذیب تعبیر شده است.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 xml:space="preserve"> هرچند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 که در برخی روایات دیگر از این باب تعابیری وجود دارد که ممکن است با تردید نیز جمع شود.</w:t>
      </w:r>
    </w:p>
    <w:p w:rsidR="005F115A" w:rsidRPr="002F3184" w:rsidRDefault="005F115A" w:rsidP="005F115A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«وَ عَنْهُ عَنِ الْعَلَاءِ عَنْ مُحَمَّدِ بْنِ مُسْلِمٍ قَالَ: سَأَلْتُ أَبَا جَعْفَرٍ ع عَنِ الْمُرْتَدِّ فَقَالَ مَنْ رَغِبَ عَنِ الْإِسْلَامِ وَ 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فَرَ بِمَا أُنْزِلَ عَلَ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مُحَمَّدٍ ص بَعْدَ إِسْلَامِهِ فَلَا تَوْبَةَ لَهُ وَ قَدْ وَجَبَ قَتْلُهُ وَ بَانَتْ مِنْهُ امْرَأَتُهُ وَ 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قْسَمُ مَا تَرَ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عَلَ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وُلْدِهِ.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3"/>
      </w:r>
    </w:p>
    <w:p w:rsidR="005F115A" w:rsidRPr="002F3184" w:rsidRDefault="005F115A" w:rsidP="005F115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که تعبیر فوق در روایت همان معنای عام را 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>می‌رساند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5F115A" w:rsidRPr="002F3184" w:rsidRDefault="008673B6" w:rsidP="005F115A">
      <w:pPr>
        <w:pStyle w:val="Heading1"/>
        <w:rPr>
          <w:rFonts w:ascii="IRBadr" w:hAnsi="IRBadr" w:cs="IRBadr"/>
          <w:rtl/>
        </w:rPr>
      </w:pPr>
      <w:bookmarkStart w:id="4" w:name="_Toc428090712"/>
      <w:r w:rsidRPr="002F3184">
        <w:rPr>
          <w:rFonts w:ascii="IRBadr" w:hAnsi="IRBadr" w:cs="IRBadr"/>
          <w:rtl/>
        </w:rPr>
        <w:t>جمع‌بندی</w:t>
      </w:r>
      <w:bookmarkEnd w:id="4"/>
    </w:p>
    <w:p w:rsidR="005F115A" w:rsidRPr="002F3184" w:rsidRDefault="005F115A" w:rsidP="005F115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تاکنون این مباحث 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>مطرح‌شده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 است که در مطلق مرتد توبه 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>موردقبول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 واقع شود.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 xml:space="preserve"> بحث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 دیگر راجع به تقسیم ارتداد از حیث عوامل بود که در آن به سبب شبهه واقعه حکم ارتداد اجرا نخواهد شد.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 xml:space="preserve"> جایگاه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 قاعده درع نیز در مواردی از بحث </w:t>
      </w:r>
      <w:r w:rsidR="003971B0">
        <w:rPr>
          <w:rFonts w:ascii="IRBadr" w:hAnsi="IRBadr" w:cs="IRBadr"/>
          <w:sz w:val="28"/>
          <w:szCs w:val="28"/>
          <w:rtl/>
          <w:lang w:bidi="fa-IR"/>
        </w:rPr>
        <w:t>تبیین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 شد.</w:t>
      </w:r>
    </w:p>
    <w:p w:rsidR="005F115A" w:rsidRPr="002F3184" w:rsidRDefault="005F115A" w:rsidP="005F115A">
      <w:pPr>
        <w:pStyle w:val="Heading2"/>
        <w:rPr>
          <w:rFonts w:ascii="IRBadr" w:hAnsi="IRBadr" w:cs="IRBadr"/>
          <w:rtl/>
        </w:rPr>
      </w:pPr>
      <w:bookmarkStart w:id="5" w:name="_Toc428090713"/>
      <w:r w:rsidRPr="002F3184">
        <w:rPr>
          <w:rFonts w:ascii="IRBadr" w:hAnsi="IRBadr" w:cs="IRBadr"/>
          <w:rtl/>
        </w:rPr>
        <w:t>شرایط ارتداد</w:t>
      </w:r>
      <w:bookmarkEnd w:id="5"/>
    </w:p>
    <w:p w:rsidR="005F115A" w:rsidRPr="002F3184" w:rsidRDefault="003971B0" w:rsidP="005F115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="005F115A" w:rsidRPr="002F3184">
        <w:rPr>
          <w:rFonts w:ascii="IRBadr" w:hAnsi="IRBadr" w:cs="IRBadr"/>
          <w:sz w:val="28"/>
          <w:szCs w:val="28"/>
          <w:rtl/>
          <w:lang w:bidi="fa-IR"/>
        </w:rPr>
        <w:t xml:space="preserve"> دیگر در قبال شرایط ثبوت ارتداد است که در آن بلوغ،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 xml:space="preserve"> عقل</w:t>
      </w:r>
      <w:r w:rsidR="005F115A" w:rsidRPr="002F3184">
        <w:rPr>
          <w:rFonts w:ascii="IRBadr" w:hAnsi="IRBadr" w:cs="IRBadr"/>
          <w:sz w:val="28"/>
          <w:szCs w:val="28"/>
          <w:rtl/>
          <w:lang w:bidi="fa-IR"/>
        </w:rPr>
        <w:t>،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 xml:space="preserve"> اختیار</w:t>
      </w:r>
      <w:r w:rsidR="005F115A" w:rsidRPr="002F3184">
        <w:rPr>
          <w:rFonts w:ascii="IRBadr" w:hAnsi="IRBadr" w:cs="IRBadr"/>
          <w:sz w:val="28"/>
          <w:szCs w:val="28"/>
          <w:rtl/>
          <w:lang w:bidi="fa-IR"/>
        </w:rPr>
        <w:t xml:space="preserve"> و قصد شرط شده است و در بحث حدود 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>ادله‌ای</w:t>
      </w:r>
      <w:r w:rsidR="005F115A" w:rsidRPr="002F3184">
        <w:rPr>
          <w:rFonts w:ascii="IRBadr" w:hAnsi="IRBadr" w:cs="IRBadr"/>
          <w:sz w:val="28"/>
          <w:szCs w:val="28"/>
          <w:rtl/>
          <w:lang w:bidi="fa-IR"/>
        </w:rPr>
        <w:t xml:space="preserve"> که در قبال شرط بلوغ وجود داشت ذکر شد.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 xml:space="preserve"> شرط</w:t>
      </w:r>
      <w:r w:rsidR="005F115A" w:rsidRPr="002F3184">
        <w:rPr>
          <w:rFonts w:ascii="IRBadr" w:hAnsi="IRBadr" w:cs="IRBadr"/>
          <w:sz w:val="28"/>
          <w:szCs w:val="28"/>
          <w:rtl/>
          <w:lang w:bidi="fa-IR"/>
        </w:rPr>
        <w:t xml:space="preserve"> عقل مورد ارتداد مجنون را خارج 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5F115A" w:rsidRPr="002F3184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5F115A" w:rsidRPr="002F3184" w:rsidRDefault="008673B6" w:rsidP="005F115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F3184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="005F115A" w:rsidRPr="002F3184">
        <w:rPr>
          <w:rFonts w:ascii="IRBadr" w:hAnsi="IRBadr" w:cs="IRBadr"/>
          <w:sz w:val="28"/>
          <w:szCs w:val="28"/>
          <w:rtl/>
          <w:lang w:bidi="fa-IR"/>
        </w:rPr>
        <w:t xml:space="preserve"> شرایط دیگری که در این زمینه وجود دارد،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 شرط</w:t>
      </w:r>
      <w:r w:rsidR="005F115A" w:rsidRPr="002F3184">
        <w:rPr>
          <w:rFonts w:ascii="IRBadr" w:hAnsi="IRBadr" w:cs="IRBadr"/>
          <w:sz w:val="28"/>
          <w:szCs w:val="28"/>
          <w:rtl/>
          <w:lang w:bidi="fa-IR"/>
        </w:rPr>
        <w:t xml:space="preserve"> اختیار بود که موارد اکراه یا تقیه و اضطرار را خارج 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5F115A" w:rsidRPr="002F3184">
        <w:rPr>
          <w:rFonts w:ascii="IRBadr" w:hAnsi="IRBadr" w:cs="IRBadr"/>
          <w:sz w:val="28"/>
          <w:szCs w:val="28"/>
          <w:rtl/>
          <w:lang w:bidi="fa-IR"/>
        </w:rPr>
        <w:t xml:space="preserve"> همانند داستانی که در قبال عمار یاسر به وقوع رسیده بود. مورد قصد نیز 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>کما اینکه</w:t>
      </w:r>
      <w:r w:rsidR="005F115A" w:rsidRPr="002F3184">
        <w:rPr>
          <w:rFonts w:ascii="IRBadr" w:hAnsi="IRBadr" w:cs="IRBadr"/>
          <w:sz w:val="28"/>
          <w:szCs w:val="28"/>
          <w:rtl/>
          <w:lang w:bidi="fa-IR"/>
        </w:rPr>
        <w:t xml:space="preserve"> مکرراً 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="005F115A" w:rsidRPr="002F3184">
        <w:rPr>
          <w:rFonts w:ascii="IRBadr" w:hAnsi="IRBadr" w:cs="IRBadr"/>
          <w:sz w:val="28"/>
          <w:szCs w:val="28"/>
          <w:rtl/>
          <w:lang w:bidi="fa-IR"/>
        </w:rPr>
        <w:t xml:space="preserve"> است مواردی که در 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5F115A" w:rsidRPr="002F3184">
        <w:rPr>
          <w:rFonts w:ascii="IRBadr" w:hAnsi="IRBadr" w:cs="IRBadr"/>
          <w:sz w:val="28"/>
          <w:szCs w:val="28"/>
          <w:rtl/>
          <w:lang w:bidi="fa-IR"/>
        </w:rPr>
        <w:t xml:space="preserve"> قصد جدی مراعات نشده مانند هذل و 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>حواس‌پرتی</w:t>
      </w:r>
      <w:r w:rsidR="005F115A" w:rsidRPr="002F3184">
        <w:rPr>
          <w:rFonts w:ascii="IRBadr" w:hAnsi="IRBadr" w:cs="IRBadr"/>
          <w:sz w:val="28"/>
          <w:szCs w:val="28"/>
          <w:rtl/>
          <w:lang w:bidi="fa-IR"/>
        </w:rPr>
        <w:t xml:space="preserve"> و ... را خارج 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>می‌نماید</w:t>
      </w:r>
      <w:r w:rsidR="005F115A" w:rsidRPr="002F3184">
        <w:rPr>
          <w:rFonts w:ascii="IRBadr" w:hAnsi="IRBadr" w:cs="IRBadr"/>
          <w:sz w:val="28"/>
          <w:szCs w:val="28"/>
          <w:rtl/>
          <w:lang w:bidi="fa-IR"/>
        </w:rPr>
        <w:t>.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5F115A" w:rsidRPr="002F318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="005F115A" w:rsidRPr="002F3184">
        <w:rPr>
          <w:rFonts w:ascii="IRBadr" w:hAnsi="IRBadr" w:cs="IRBadr"/>
          <w:sz w:val="28"/>
          <w:szCs w:val="28"/>
          <w:rtl/>
          <w:lang w:bidi="fa-IR"/>
        </w:rPr>
        <w:t xml:space="preserve"> مواردی که در ذیل شرط قصد باید مطرح گردد اظهار فرد در هنگام غضب است که در این زمینه روایاتی وجود دارد.</w:t>
      </w:r>
    </w:p>
    <w:p w:rsidR="005F115A" w:rsidRPr="002F3184" w:rsidRDefault="005F115A" w:rsidP="005F115A">
      <w:pPr>
        <w:pStyle w:val="Heading2"/>
        <w:rPr>
          <w:rFonts w:ascii="IRBadr" w:hAnsi="IRBadr" w:cs="IRBadr"/>
          <w:rtl/>
        </w:rPr>
      </w:pPr>
      <w:bookmarkStart w:id="6" w:name="_Toc428090714"/>
      <w:r w:rsidRPr="002F3184">
        <w:rPr>
          <w:rFonts w:ascii="IRBadr" w:hAnsi="IRBadr" w:cs="IRBadr"/>
          <w:rtl/>
        </w:rPr>
        <w:lastRenderedPageBreak/>
        <w:t>روایت غضب</w:t>
      </w:r>
      <w:bookmarkEnd w:id="6"/>
    </w:p>
    <w:p w:rsidR="005F115A" w:rsidRPr="002F3184" w:rsidRDefault="005F115A" w:rsidP="005F115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این روایات در باب 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>بیست‌وهشت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 ابواب حد قذف، صفحه چهارصد و 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>شصت‌وچهار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 است؛</w:t>
      </w:r>
    </w:p>
    <w:p w:rsidR="005F115A" w:rsidRPr="002F3184" w:rsidRDefault="005F115A" w:rsidP="005F115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F3184">
        <w:rPr>
          <w:rFonts w:ascii="IRBadr" w:hAnsi="IRBadr" w:cs="IRBadr"/>
          <w:sz w:val="28"/>
          <w:szCs w:val="28"/>
          <w:rtl/>
          <w:lang w:bidi="fa-IR"/>
        </w:rPr>
        <w:t>این روایت معتبر است؛</w:t>
      </w:r>
    </w:p>
    <w:p w:rsidR="005F115A" w:rsidRPr="002F3184" w:rsidRDefault="005F115A" w:rsidP="005F115A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«عَلِ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بْنُ إِبْرَاهِ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مَ عَنْ أَبِ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هِ عَنِ ابْنِ أَبِ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عُمَ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رٍ عَنْ عَلِ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بْنِ عَطِ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ةَ عَنْ أَبِ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عَبْدِ اللَّهِ ع قَالَ: 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نْتُ عِنْدَهُ وَ سَأَلَهُ رَجُلٌ عَنْ رَجُلٍ 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جِ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‌ءُ مِنْهُ الشَّ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‌ءُ عَلَ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حَدِّ الْغَضَبِ 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ؤَاخِذُهُ اللَّهُ بِهِ فَقَالَ اللَّهُ أَ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رَمُ مِنْ أَنْ 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سْتَغْلِقَ عَبْدَهُ وَ فِ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نُسْخَةِ أَبِ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الْحَسَنِ الْأَوَّلِ ع 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سْتَقْلِقَ عَبْدَهُ.»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4"/>
      </w:r>
    </w:p>
    <w:p w:rsidR="005F115A" w:rsidRPr="002F3184" w:rsidRDefault="005F115A" w:rsidP="005F115A">
      <w:pPr>
        <w:pStyle w:val="Heading3"/>
        <w:rPr>
          <w:rFonts w:ascii="IRBadr" w:hAnsi="IRBadr" w:cs="IRBadr"/>
          <w:rtl/>
        </w:rPr>
      </w:pPr>
      <w:bookmarkStart w:id="7" w:name="_Toc428090715"/>
      <w:r w:rsidRPr="002F3184">
        <w:rPr>
          <w:rFonts w:ascii="IRBadr" w:hAnsi="IRBadr" w:cs="IRBadr"/>
          <w:rtl/>
        </w:rPr>
        <w:t>برگشت از اظهار در ارتداد</w:t>
      </w:r>
      <w:bookmarkEnd w:id="7"/>
    </w:p>
    <w:p w:rsidR="005F115A" w:rsidRPr="002F3184" w:rsidRDefault="005F115A" w:rsidP="005F115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F3184">
        <w:rPr>
          <w:rFonts w:ascii="IRBadr" w:hAnsi="IRBadr" w:cs="IRBadr"/>
          <w:sz w:val="28"/>
          <w:szCs w:val="28"/>
          <w:rtl/>
          <w:lang w:bidi="fa-IR"/>
        </w:rPr>
        <w:t>مسئله سوم این است که؛</w:t>
      </w:r>
    </w:p>
    <w:p w:rsidR="005F115A" w:rsidRPr="002F3184" w:rsidRDefault="005F115A" w:rsidP="005F115A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«مسألة 3: لو ظهر منه ما 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وجب الارتداد فادّع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الإ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راه مع احتماله، أو عدم القصد و سبق اللسان مع احتماله قبل منه، و لو قامت الب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نة عل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صدور 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لام منه موجب للارتداد فادّع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ما ذ</w:t>
      </w:r>
      <w:r w:rsidR="008673B6"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 قبل منه»</w:t>
      </w:r>
      <w:r w:rsidRPr="002F3184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5"/>
      </w:r>
    </w:p>
    <w:p w:rsidR="005F115A" w:rsidRPr="002F3184" w:rsidRDefault="005F115A" w:rsidP="005F115A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این </w:t>
      </w:r>
      <w:r w:rsidR="003971B0"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 راجع به این است که اگر کسی اظهار کفر کرد و 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>پس‌ازآن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 ادعا نمود که به شوخی بوده است،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 xml:space="preserve"> اکراهی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 یا عاملی دیگر در کار بوده که مانع از تحقق قصد جدی 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>،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 اینجا اگر قرینه عقلایی برای پذیرش قول او بود، 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>موردقبول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 خواهد بود.</w:t>
      </w:r>
    </w:p>
    <w:p w:rsidR="005F115A" w:rsidRPr="002F3184" w:rsidRDefault="005F115A" w:rsidP="005F115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اما ممکن است که در اینجا ادعا شود با استصحاب موضوع ارتداد ثابت 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 که در این قبال 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673B6" w:rsidRPr="002F3184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Pr="002F3184">
        <w:rPr>
          <w:rFonts w:ascii="IRBadr" w:hAnsi="IRBadr" w:cs="IRBadr"/>
          <w:sz w:val="28"/>
          <w:szCs w:val="28"/>
          <w:rtl/>
          <w:lang w:bidi="fa-IR"/>
        </w:rPr>
        <w:t xml:space="preserve"> پاسخ داد که موضوع ارتداد مقید به عدم وجود اکراه است.</w:t>
      </w:r>
    </w:p>
    <w:p w:rsidR="005F115A" w:rsidRPr="002F3184" w:rsidRDefault="005F115A" w:rsidP="005F115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5F115A" w:rsidRPr="002F3184" w:rsidRDefault="005F115A" w:rsidP="005F115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2670" w:rsidRPr="002F3184" w:rsidRDefault="00152670" w:rsidP="00734D59">
      <w:pPr>
        <w:bidi/>
        <w:rPr>
          <w:rFonts w:ascii="IRBadr" w:hAnsi="IRBadr" w:cs="IRBadr"/>
          <w:rtl/>
          <w:lang w:bidi="fa-IR"/>
        </w:rPr>
      </w:pPr>
    </w:p>
    <w:sectPr w:rsidR="00152670" w:rsidRPr="002F3184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438" w:rsidRDefault="00032438" w:rsidP="000D5800">
      <w:pPr>
        <w:spacing w:after="0" w:line="240" w:lineRule="auto"/>
      </w:pPr>
      <w:r>
        <w:separator/>
      </w:r>
    </w:p>
  </w:endnote>
  <w:endnote w:type="continuationSeparator" w:id="0">
    <w:p w:rsidR="00032438" w:rsidRDefault="00032438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438" w:rsidRDefault="00032438" w:rsidP="00CB6DDA">
      <w:pPr>
        <w:bidi/>
        <w:spacing w:after="0" w:line="240" w:lineRule="auto"/>
      </w:pPr>
      <w:r>
        <w:separator/>
      </w:r>
    </w:p>
  </w:footnote>
  <w:footnote w:type="continuationSeparator" w:id="0">
    <w:p w:rsidR="00032438" w:rsidRDefault="00032438" w:rsidP="000D5800">
      <w:pPr>
        <w:spacing w:after="0" w:line="240" w:lineRule="auto"/>
      </w:pPr>
      <w:r>
        <w:continuationSeparator/>
      </w:r>
    </w:p>
  </w:footnote>
  <w:footnote w:id="1">
    <w:p w:rsidR="005F115A" w:rsidRDefault="005F115A" w:rsidP="005F115A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t xml:space="preserve"> </w:t>
      </w:r>
      <w:r w:rsidR="003971B0">
        <w:rPr>
          <w:rFonts w:ascii="Noor_Titr" w:hAnsi="Noor_Titr" w:cs="B Badr" w:hint="cs"/>
          <w:color w:val="000000" w:themeColor="text1"/>
          <w:rtl/>
        </w:rPr>
        <w:t xml:space="preserve">- </w:t>
      </w:r>
      <w:bookmarkStart w:id="3" w:name="_GoBack"/>
      <w:bookmarkEnd w:id="3"/>
      <w:r w:rsidRPr="00A436C5">
        <w:rPr>
          <w:rFonts w:ascii="Noor_Titr" w:hAnsi="Noor_Titr" w:cs="B Badr" w:hint="cs"/>
          <w:color w:val="000000" w:themeColor="text1"/>
          <w:rtl/>
        </w:rPr>
        <w:t>ال</w:t>
      </w:r>
      <w:r w:rsidR="008673B6">
        <w:rPr>
          <w:rFonts w:ascii="Noor_Titr" w:hAnsi="Noor_Titr" w:cs="B Badr" w:hint="cs"/>
          <w:color w:val="000000" w:themeColor="text1"/>
          <w:rtl/>
        </w:rPr>
        <w:t>ک</w:t>
      </w:r>
      <w:r w:rsidRPr="00A436C5">
        <w:rPr>
          <w:rFonts w:ascii="Noor_Titr" w:hAnsi="Noor_Titr" w:cs="B Badr" w:hint="cs"/>
          <w:color w:val="000000" w:themeColor="text1"/>
          <w:rtl/>
        </w:rPr>
        <w:t>اف</w:t>
      </w:r>
      <w:r w:rsidR="008673B6">
        <w:rPr>
          <w:rFonts w:ascii="Noor_Titr" w:hAnsi="Noor_Titr" w:cs="B Badr" w:hint="cs"/>
          <w:color w:val="000000" w:themeColor="text1"/>
          <w:rtl/>
        </w:rPr>
        <w:t>ی</w:t>
      </w:r>
      <w:r w:rsidRPr="00A436C5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8673B6">
        <w:rPr>
          <w:rFonts w:ascii="Noor_Titr" w:hAnsi="Noor_Titr" w:cs="B Badr" w:hint="cs"/>
          <w:color w:val="000000" w:themeColor="text1"/>
          <w:rtl/>
        </w:rPr>
        <w:t>ی</w:t>
      </w:r>
      <w:r w:rsidRPr="00A436C5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8673B6">
        <w:rPr>
          <w:rFonts w:ascii="Noor_Titr" w:hAnsi="Noor_Titr" w:cs="B Badr"/>
          <w:color w:val="000000" w:themeColor="text1"/>
          <w:rtl/>
        </w:rPr>
        <w:t>ج 7</w:t>
      </w:r>
      <w:r w:rsidRPr="00A436C5">
        <w:rPr>
          <w:rFonts w:ascii="Noor_Titr" w:hAnsi="Noor_Titr" w:cs="B Badr" w:hint="cs"/>
          <w:color w:val="000000" w:themeColor="text1"/>
          <w:rtl/>
        </w:rPr>
        <w:t>، ص: 258</w:t>
      </w:r>
      <w:r w:rsidR="003971B0">
        <w:rPr>
          <w:rFonts w:hint="cs"/>
          <w:rtl/>
        </w:rPr>
        <w:t>.</w:t>
      </w:r>
    </w:p>
  </w:footnote>
  <w:footnote w:id="2">
    <w:p w:rsidR="005F115A" w:rsidRDefault="005F115A" w:rsidP="005F115A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="003971B0">
        <w:rPr>
          <w:rFonts w:ascii="Noor_Titr" w:hAnsi="Noor_Titr" w:cs="B Badr" w:hint="cs"/>
          <w:color w:val="000000" w:themeColor="text1"/>
          <w:rtl/>
        </w:rPr>
        <w:t xml:space="preserve">- </w:t>
      </w:r>
      <w:r w:rsidRPr="00A436C5">
        <w:rPr>
          <w:rFonts w:ascii="Noor_Titr" w:hAnsi="Noor_Titr" w:cs="B Badr" w:hint="cs"/>
          <w:color w:val="000000" w:themeColor="text1"/>
          <w:rtl/>
        </w:rPr>
        <w:t>ال</w:t>
      </w:r>
      <w:r w:rsidR="008673B6">
        <w:rPr>
          <w:rFonts w:ascii="Noor_Titr" w:hAnsi="Noor_Titr" w:cs="B Badr" w:hint="cs"/>
          <w:color w:val="000000" w:themeColor="text1"/>
          <w:rtl/>
        </w:rPr>
        <w:t>ک</w:t>
      </w:r>
      <w:r w:rsidRPr="00A436C5">
        <w:rPr>
          <w:rFonts w:ascii="Noor_Titr" w:hAnsi="Noor_Titr" w:cs="B Badr" w:hint="cs"/>
          <w:color w:val="000000" w:themeColor="text1"/>
          <w:rtl/>
        </w:rPr>
        <w:t>اف</w:t>
      </w:r>
      <w:r w:rsidR="008673B6">
        <w:rPr>
          <w:rFonts w:ascii="Noor_Titr" w:hAnsi="Noor_Titr" w:cs="B Badr" w:hint="cs"/>
          <w:color w:val="000000" w:themeColor="text1"/>
          <w:rtl/>
        </w:rPr>
        <w:t>ی</w:t>
      </w:r>
      <w:r w:rsidRPr="00A436C5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8673B6">
        <w:rPr>
          <w:rFonts w:ascii="Noor_Titr" w:hAnsi="Noor_Titr" w:cs="B Badr" w:hint="cs"/>
          <w:color w:val="000000" w:themeColor="text1"/>
          <w:rtl/>
        </w:rPr>
        <w:t>ی</w:t>
      </w:r>
      <w:r w:rsidRPr="00A436C5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8673B6">
        <w:rPr>
          <w:rFonts w:ascii="Noor_Titr" w:hAnsi="Noor_Titr" w:cs="B Badr"/>
          <w:color w:val="000000" w:themeColor="text1"/>
          <w:rtl/>
        </w:rPr>
        <w:t>ج 7</w:t>
      </w:r>
      <w:r w:rsidRPr="00A436C5">
        <w:rPr>
          <w:rFonts w:ascii="Noor_Titr" w:hAnsi="Noor_Titr" w:cs="B Badr" w:hint="cs"/>
          <w:color w:val="000000" w:themeColor="text1"/>
          <w:rtl/>
        </w:rPr>
        <w:t>، ص: 258</w:t>
      </w:r>
      <w:r w:rsidR="003971B0">
        <w:rPr>
          <w:rFonts w:hint="cs"/>
          <w:rtl/>
        </w:rPr>
        <w:t>.</w:t>
      </w:r>
    </w:p>
  </w:footnote>
  <w:footnote w:id="3">
    <w:p w:rsidR="005F115A" w:rsidRDefault="005F115A" w:rsidP="005F115A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t xml:space="preserve"> </w:t>
      </w:r>
      <w:r w:rsidR="003971B0">
        <w:rPr>
          <w:rFonts w:ascii="Noor_Titr" w:hAnsi="Noor_Titr" w:cs="B Badr" w:hint="cs"/>
          <w:color w:val="000000" w:themeColor="text1"/>
          <w:rtl/>
        </w:rPr>
        <w:t xml:space="preserve">- </w:t>
      </w:r>
      <w:r w:rsidRPr="00A436C5">
        <w:rPr>
          <w:rFonts w:ascii="Noor_Titr" w:hAnsi="Noor_Titr" w:cs="B Badr" w:hint="cs"/>
          <w:color w:val="000000" w:themeColor="text1"/>
          <w:rtl/>
        </w:rPr>
        <w:t>ال</w:t>
      </w:r>
      <w:r w:rsidR="008673B6">
        <w:rPr>
          <w:rFonts w:ascii="Noor_Titr" w:hAnsi="Noor_Titr" w:cs="B Badr" w:hint="cs"/>
          <w:color w:val="000000" w:themeColor="text1"/>
          <w:rtl/>
        </w:rPr>
        <w:t>ک</w:t>
      </w:r>
      <w:r w:rsidRPr="00A436C5">
        <w:rPr>
          <w:rFonts w:ascii="Noor_Titr" w:hAnsi="Noor_Titr" w:cs="B Badr" w:hint="cs"/>
          <w:color w:val="000000" w:themeColor="text1"/>
          <w:rtl/>
        </w:rPr>
        <w:t>اف</w:t>
      </w:r>
      <w:r w:rsidR="008673B6">
        <w:rPr>
          <w:rFonts w:ascii="Noor_Titr" w:hAnsi="Noor_Titr" w:cs="B Badr" w:hint="cs"/>
          <w:color w:val="000000" w:themeColor="text1"/>
          <w:rtl/>
        </w:rPr>
        <w:t>ی</w:t>
      </w:r>
      <w:r w:rsidRPr="00A436C5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8673B6">
        <w:rPr>
          <w:rFonts w:ascii="Noor_Titr" w:hAnsi="Noor_Titr" w:cs="B Badr" w:hint="cs"/>
          <w:color w:val="000000" w:themeColor="text1"/>
          <w:rtl/>
        </w:rPr>
        <w:t>ی</w:t>
      </w:r>
      <w:r w:rsidRPr="00A436C5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8673B6">
        <w:rPr>
          <w:rFonts w:ascii="Noor_Titr" w:hAnsi="Noor_Titr" w:cs="B Badr"/>
          <w:color w:val="000000" w:themeColor="text1"/>
          <w:rtl/>
        </w:rPr>
        <w:t>ج 6</w:t>
      </w:r>
      <w:r w:rsidRPr="00A436C5">
        <w:rPr>
          <w:rFonts w:ascii="Noor_Titr" w:hAnsi="Noor_Titr" w:cs="B Badr" w:hint="cs"/>
          <w:color w:val="000000" w:themeColor="text1"/>
          <w:rtl/>
        </w:rPr>
        <w:t>، ص: 174</w:t>
      </w:r>
      <w:r w:rsidR="003971B0">
        <w:rPr>
          <w:rFonts w:hint="cs"/>
          <w:rtl/>
        </w:rPr>
        <w:t>.</w:t>
      </w:r>
    </w:p>
  </w:footnote>
  <w:footnote w:id="4">
    <w:p w:rsidR="005F115A" w:rsidRDefault="005F115A" w:rsidP="005F115A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="003971B0">
        <w:rPr>
          <w:rFonts w:ascii="Noor_Titr" w:hAnsi="Noor_Titr" w:cs="B Badr" w:hint="cs"/>
          <w:color w:val="000000" w:themeColor="text1"/>
          <w:rtl/>
        </w:rPr>
        <w:t xml:space="preserve">- </w:t>
      </w:r>
      <w:r w:rsidRPr="00A436C5">
        <w:rPr>
          <w:rFonts w:ascii="Noor_Titr" w:hAnsi="Noor_Titr" w:cs="B Badr" w:hint="cs"/>
          <w:color w:val="000000" w:themeColor="text1"/>
          <w:rtl/>
        </w:rPr>
        <w:t>ال</w:t>
      </w:r>
      <w:r w:rsidR="008673B6">
        <w:rPr>
          <w:rFonts w:ascii="Noor_Titr" w:hAnsi="Noor_Titr" w:cs="B Badr" w:hint="cs"/>
          <w:color w:val="000000" w:themeColor="text1"/>
          <w:rtl/>
        </w:rPr>
        <w:t>ک</w:t>
      </w:r>
      <w:r w:rsidRPr="00A436C5">
        <w:rPr>
          <w:rFonts w:ascii="Noor_Titr" w:hAnsi="Noor_Titr" w:cs="B Badr" w:hint="cs"/>
          <w:color w:val="000000" w:themeColor="text1"/>
          <w:rtl/>
        </w:rPr>
        <w:t>اف</w:t>
      </w:r>
      <w:r w:rsidR="008673B6">
        <w:rPr>
          <w:rFonts w:ascii="Noor_Titr" w:hAnsi="Noor_Titr" w:cs="B Badr" w:hint="cs"/>
          <w:color w:val="000000" w:themeColor="text1"/>
          <w:rtl/>
        </w:rPr>
        <w:t>ی</w:t>
      </w:r>
      <w:r w:rsidRPr="00A436C5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8673B6">
        <w:rPr>
          <w:rFonts w:ascii="Noor_Titr" w:hAnsi="Noor_Titr" w:cs="B Badr" w:hint="cs"/>
          <w:color w:val="000000" w:themeColor="text1"/>
          <w:rtl/>
        </w:rPr>
        <w:t>ی</w:t>
      </w:r>
      <w:r w:rsidRPr="00A436C5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8673B6">
        <w:rPr>
          <w:rFonts w:ascii="Noor_Titr" w:hAnsi="Noor_Titr" w:cs="B Badr"/>
          <w:color w:val="000000" w:themeColor="text1"/>
          <w:rtl/>
        </w:rPr>
        <w:t>ج 8</w:t>
      </w:r>
      <w:r w:rsidRPr="00A436C5">
        <w:rPr>
          <w:rFonts w:ascii="Noor_Titr" w:hAnsi="Noor_Titr" w:cs="B Badr" w:hint="cs"/>
          <w:color w:val="000000" w:themeColor="text1"/>
          <w:rtl/>
        </w:rPr>
        <w:t>، ص: 254</w:t>
      </w:r>
      <w:r w:rsidR="003971B0">
        <w:rPr>
          <w:rFonts w:hint="cs"/>
          <w:rtl/>
        </w:rPr>
        <w:t>.</w:t>
      </w:r>
    </w:p>
  </w:footnote>
  <w:footnote w:id="5">
    <w:p w:rsidR="005F115A" w:rsidRDefault="005F115A" w:rsidP="005F115A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="003971B0">
        <w:rPr>
          <w:rFonts w:ascii="Noor_Titr" w:hAnsi="Noor_Titr" w:cs="B Badr" w:hint="cs"/>
          <w:color w:val="000000" w:themeColor="text1"/>
          <w:rtl/>
        </w:rPr>
        <w:t xml:space="preserve">- </w:t>
      </w:r>
      <w:r w:rsidRPr="00A436C5">
        <w:rPr>
          <w:rFonts w:ascii="Noor_Titr" w:hAnsi="Noor_Titr" w:cs="B Badr" w:hint="cs"/>
          <w:color w:val="000000" w:themeColor="text1"/>
          <w:rtl/>
        </w:rPr>
        <w:t>تفص</w:t>
      </w:r>
      <w:r w:rsidR="008673B6">
        <w:rPr>
          <w:rFonts w:ascii="Noor_Titr" w:hAnsi="Noor_Titr" w:cs="B Badr" w:hint="cs"/>
          <w:color w:val="000000" w:themeColor="text1"/>
          <w:rtl/>
        </w:rPr>
        <w:t>ی</w:t>
      </w:r>
      <w:r w:rsidRPr="00A436C5">
        <w:rPr>
          <w:rFonts w:ascii="Noor_Titr" w:hAnsi="Noor_Titr" w:cs="B Badr" w:hint="cs"/>
          <w:color w:val="000000" w:themeColor="text1"/>
          <w:rtl/>
        </w:rPr>
        <w:t>ل الشر</w:t>
      </w:r>
      <w:r w:rsidR="008673B6">
        <w:rPr>
          <w:rFonts w:ascii="Noor_Titr" w:hAnsi="Noor_Titr" w:cs="B Badr" w:hint="cs"/>
          <w:color w:val="000000" w:themeColor="text1"/>
          <w:rtl/>
        </w:rPr>
        <w:t>ی</w:t>
      </w:r>
      <w:r w:rsidRPr="00A436C5">
        <w:rPr>
          <w:rFonts w:ascii="Noor_Titr" w:hAnsi="Noor_Titr" w:cs="B Badr" w:hint="cs"/>
          <w:color w:val="000000" w:themeColor="text1"/>
          <w:rtl/>
        </w:rPr>
        <w:t>عة ف</w:t>
      </w:r>
      <w:r w:rsidR="008673B6">
        <w:rPr>
          <w:rFonts w:ascii="Noor_Titr" w:hAnsi="Noor_Titr" w:cs="B Badr" w:hint="cs"/>
          <w:color w:val="000000" w:themeColor="text1"/>
          <w:rtl/>
        </w:rPr>
        <w:t>ی</w:t>
      </w:r>
      <w:r w:rsidRPr="00A436C5">
        <w:rPr>
          <w:rFonts w:ascii="Noor_Titr" w:hAnsi="Noor_Titr" w:cs="B Badr" w:hint="cs"/>
          <w:color w:val="000000" w:themeColor="text1"/>
          <w:rtl/>
        </w:rPr>
        <w:t xml:space="preserve"> شرح تحر</w:t>
      </w:r>
      <w:r w:rsidR="008673B6">
        <w:rPr>
          <w:rFonts w:ascii="Noor_Titr" w:hAnsi="Noor_Titr" w:cs="B Badr" w:hint="cs"/>
          <w:color w:val="000000" w:themeColor="text1"/>
          <w:rtl/>
        </w:rPr>
        <w:t>ی</w:t>
      </w:r>
      <w:r w:rsidRPr="00A436C5">
        <w:rPr>
          <w:rFonts w:ascii="Noor_Titr" w:hAnsi="Noor_Titr" w:cs="B Badr" w:hint="cs"/>
          <w:color w:val="000000" w:themeColor="text1"/>
          <w:rtl/>
        </w:rPr>
        <w:t>ر الوس</w:t>
      </w:r>
      <w:r w:rsidR="008673B6">
        <w:rPr>
          <w:rFonts w:ascii="Noor_Titr" w:hAnsi="Noor_Titr" w:cs="B Badr" w:hint="cs"/>
          <w:color w:val="000000" w:themeColor="text1"/>
          <w:rtl/>
        </w:rPr>
        <w:t>ی</w:t>
      </w:r>
      <w:r w:rsidRPr="00A436C5">
        <w:rPr>
          <w:rFonts w:ascii="Noor_Titr" w:hAnsi="Noor_Titr" w:cs="B Badr" w:hint="cs"/>
          <w:color w:val="000000" w:themeColor="text1"/>
          <w:rtl/>
        </w:rPr>
        <w:t>لة - الحدود؛ ص: 706</w:t>
      </w:r>
      <w:r w:rsidR="003971B0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DD" w:rsidRPr="002F3184" w:rsidRDefault="000D5800" w:rsidP="002F3184">
    <w:pPr>
      <w:tabs>
        <w:tab w:val="left" w:pos="1256"/>
        <w:tab w:val="left" w:pos="5696"/>
        <w:tab w:val="right" w:pos="9071"/>
      </w:tabs>
      <w:bidi/>
      <w:rPr>
        <w:rFonts w:hint="cs"/>
        <w:b/>
        <w:bCs/>
        <w:sz w:val="32"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F6FE891" wp14:editId="4339DE3D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847C1E6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8" w:name="OLE_LINK1"/>
    <w:bookmarkStart w:id="9" w:name="OLE_LINK2"/>
    <w:r>
      <w:rPr>
        <w:noProof/>
        <w:lang w:bidi="fa-IR"/>
      </w:rPr>
      <w:drawing>
        <wp:inline distT="0" distB="0" distL="0" distR="0" wp14:anchorId="1E0FA2A7" wp14:editId="58DFA800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  <w:bookmarkEnd w:id="9"/>
    <w:r w:rsidR="00494DC0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5F115A">
      <w:rPr>
        <w:rFonts w:ascii="IranNastaliq" w:hAnsi="IranNastaliq" w:cs="IranNastaliq" w:hint="cs"/>
        <w:sz w:val="40"/>
        <w:szCs w:val="40"/>
        <w:rtl/>
        <w:lang w:bidi="fa-IR"/>
      </w:rPr>
      <w:t>948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5D"/>
    <w:rsid w:val="0001193A"/>
    <w:rsid w:val="000228A2"/>
    <w:rsid w:val="00032438"/>
    <w:rsid w:val="000324F1"/>
    <w:rsid w:val="00041FE0"/>
    <w:rsid w:val="00052BA3"/>
    <w:rsid w:val="000626D3"/>
    <w:rsid w:val="0006363E"/>
    <w:rsid w:val="00080DFF"/>
    <w:rsid w:val="00085ED5"/>
    <w:rsid w:val="000A1A51"/>
    <w:rsid w:val="000B725D"/>
    <w:rsid w:val="000D076D"/>
    <w:rsid w:val="000D2D0D"/>
    <w:rsid w:val="000D5800"/>
    <w:rsid w:val="000F1897"/>
    <w:rsid w:val="000F7E72"/>
    <w:rsid w:val="00101E2D"/>
    <w:rsid w:val="00102CEB"/>
    <w:rsid w:val="001168D4"/>
    <w:rsid w:val="00117955"/>
    <w:rsid w:val="00133E1D"/>
    <w:rsid w:val="0013617D"/>
    <w:rsid w:val="00136442"/>
    <w:rsid w:val="00150D4B"/>
    <w:rsid w:val="00151D55"/>
    <w:rsid w:val="00152670"/>
    <w:rsid w:val="0016576C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0636"/>
    <w:rsid w:val="001E306E"/>
    <w:rsid w:val="001E3FB0"/>
    <w:rsid w:val="001E4FFF"/>
    <w:rsid w:val="001F2E3E"/>
    <w:rsid w:val="00224C0A"/>
    <w:rsid w:val="002376A5"/>
    <w:rsid w:val="002417C9"/>
    <w:rsid w:val="002529C5"/>
    <w:rsid w:val="00266420"/>
    <w:rsid w:val="00270294"/>
    <w:rsid w:val="00284206"/>
    <w:rsid w:val="002914BD"/>
    <w:rsid w:val="00297263"/>
    <w:rsid w:val="002C56FD"/>
    <w:rsid w:val="002D49E4"/>
    <w:rsid w:val="002E450B"/>
    <w:rsid w:val="002E73F9"/>
    <w:rsid w:val="002F05B9"/>
    <w:rsid w:val="002F3184"/>
    <w:rsid w:val="00304087"/>
    <w:rsid w:val="003275F0"/>
    <w:rsid w:val="00340BA3"/>
    <w:rsid w:val="003656D8"/>
    <w:rsid w:val="00366400"/>
    <w:rsid w:val="0037720B"/>
    <w:rsid w:val="00377228"/>
    <w:rsid w:val="003963D7"/>
    <w:rsid w:val="00396F28"/>
    <w:rsid w:val="003971B0"/>
    <w:rsid w:val="003A1A05"/>
    <w:rsid w:val="003A2654"/>
    <w:rsid w:val="003B4C26"/>
    <w:rsid w:val="003C06BF"/>
    <w:rsid w:val="003C26B8"/>
    <w:rsid w:val="003C7899"/>
    <w:rsid w:val="003D2F0A"/>
    <w:rsid w:val="003D563F"/>
    <w:rsid w:val="003E1E58"/>
    <w:rsid w:val="003F1AED"/>
    <w:rsid w:val="003F38D7"/>
    <w:rsid w:val="00405199"/>
    <w:rsid w:val="00410699"/>
    <w:rsid w:val="00415360"/>
    <w:rsid w:val="004203FB"/>
    <w:rsid w:val="004426D1"/>
    <w:rsid w:val="0044591E"/>
    <w:rsid w:val="004651D2"/>
    <w:rsid w:val="00465D26"/>
    <w:rsid w:val="004679F8"/>
    <w:rsid w:val="00494DC0"/>
    <w:rsid w:val="00496073"/>
    <w:rsid w:val="004B337F"/>
    <w:rsid w:val="004C1D5E"/>
    <w:rsid w:val="004F3596"/>
    <w:rsid w:val="004F56BA"/>
    <w:rsid w:val="00572E2D"/>
    <w:rsid w:val="00592103"/>
    <w:rsid w:val="005941DD"/>
    <w:rsid w:val="005A545E"/>
    <w:rsid w:val="005A5862"/>
    <w:rsid w:val="005B0852"/>
    <w:rsid w:val="005C06AE"/>
    <w:rsid w:val="005C0D0A"/>
    <w:rsid w:val="005D4C11"/>
    <w:rsid w:val="005E6299"/>
    <w:rsid w:val="005F115A"/>
    <w:rsid w:val="005F55FA"/>
    <w:rsid w:val="00610C18"/>
    <w:rsid w:val="00612385"/>
    <w:rsid w:val="0061376C"/>
    <w:rsid w:val="00632A97"/>
    <w:rsid w:val="00636EFA"/>
    <w:rsid w:val="0066229C"/>
    <w:rsid w:val="00675B32"/>
    <w:rsid w:val="0069696C"/>
    <w:rsid w:val="006A085A"/>
    <w:rsid w:val="006D3A87"/>
    <w:rsid w:val="006F01B4"/>
    <w:rsid w:val="00734D59"/>
    <w:rsid w:val="0073609B"/>
    <w:rsid w:val="00736B70"/>
    <w:rsid w:val="00752745"/>
    <w:rsid w:val="00766458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A7C17"/>
    <w:rsid w:val="007B0C3E"/>
    <w:rsid w:val="007B4648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5E3"/>
    <w:rsid w:val="00811F02"/>
    <w:rsid w:val="0081670E"/>
    <w:rsid w:val="008407A4"/>
    <w:rsid w:val="00844860"/>
    <w:rsid w:val="00845CC4"/>
    <w:rsid w:val="00857C21"/>
    <w:rsid w:val="008644F4"/>
    <w:rsid w:val="008673B6"/>
    <w:rsid w:val="0087093D"/>
    <w:rsid w:val="00883733"/>
    <w:rsid w:val="00884041"/>
    <w:rsid w:val="008965D2"/>
    <w:rsid w:val="008A236D"/>
    <w:rsid w:val="008B565A"/>
    <w:rsid w:val="008C3414"/>
    <w:rsid w:val="008D36D5"/>
    <w:rsid w:val="008E3903"/>
    <w:rsid w:val="008F197C"/>
    <w:rsid w:val="008F63E3"/>
    <w:rsid w:val="00913C3B"/>
    <w:rsid w:val="00915509"/>
    <w:rsid w:val="00927388"/>
    <w:rsid w:val="009274FE"/>
    <w:rsid w:val="00931FC7"/>
    <w:rsid w:val="00935E91"/>
    <w:rsid w:val="009401AC"/>
    <w:rsid w:val="009515C3"/>
    <w:rsid w:val="009541DD"/>
    <w:rsid w:val="00955CED"/>
    <w:rsid w:val="009613AC"/>
    <w:rsid w:val="00980643"/>
    <w:rsid w:val="00994E43"/>
    <w:rsid w:val="009A15A3"/>
    <w:rsid w:val="009B46BC"/>
    <w:rsid w:val="009B61C3"/>
    <w:rsid w:val="009C7B4F"/>
    <w:rsid w:val="009F4EB3"/>
    <w:rsid w:val="009F7E77"/>
    <w:rsid w:val="00A06D48"/>
    <w:rsid w:val="00A10E6B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8F"/>
    <w:rsid w:val="00AD27BE"/>
    <w:rsid w:val="00AF0F1A"/>
    <w:rsid w:val="00AF6CE9"/>
    <w:rsid w:val="00B06A08"/>
    <w:rsid w:val="00B15027"/>
    <w:rsid w:val="00B21CF4"/>
    <w:rsid w:val="00B24300"/>
    <w:rsid w:val="00B31802"/>
    <w:rsid w:val="00B37AC9"/>
    <w:rsid w:val="00B63F15"/>
    <w:rsid w:val="00BB4D78"/>
    <w:rsid w:val="00BB5F7E"/>
    <w:rsid w:val="00BC26F6"/>
    <w:rsid w:val="00BC4833"/>
    <w:rsid w:val="00BD3122"/>
    <w:rsid w:val="00BD40DA"/>
    <w:rsid w:val="00BF3D67"/>
    <w:rsid w:val="00C01A20"/>
    <w:rsid w:val="00C12BC5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B6DDA"/>
    <w:rsid w:val="00CC46FC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597E"/>
    <w:rsid w:val="00D76353"/>
    <w:rsid w:val="00D860ED"/>
    <w:rsid w:val="00D96DC0"/>
    <w:rsid w:val="00DB28BB"/>
    <w:rsid w:val="00DC603F"/>
    <w:rsid w:val="00DD3C0D"/>
    <w:rsid w:val="00DD4864"/>
    <w:rsid w:val="00DD71A2"/>
    <w:rsid w:val="00DE0AAF"/>
    <w:rsid w:val="00DE1DC4"/>
    <w:rsid w:val="00DE3B98"/>
    <w:rsid w:val="00DF252E"/>
    <w:rsid w:val="00E0639C"/>
    <w:rsid w:val="00E067E6"/>
    <w:rsid w:val="00E12531"/>
    <w:rsid w:val="00E143B0"/>
    <w:rsid w:val="00E438F7"/>
    <w:rsid w:val="00E55829"/>
    <w:rsid w:val="00E55891"/>
    <w:rsid w:val="00E6283A"/>
    <w:rsid w:val="00E6615B"/>
    <w:rsid w:val="00E732A3"/>
    <w:rsid w:val="00E8309A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22F27"/>
    <w:rsid w:val="00F2650A"/>
    <w:rsid w:val="00F40284"/>
    <w:rsid w:val="00F67976"/>
    <w:rsid w:val="00F70BE1"/>
    <w:rsid w:val="00F76AEB"/>
    <w:rsid w:val="00FC0862"/>
    <w:rsid w:val="00FC1B7D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F252E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F252E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11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F252E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F252E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11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83860-732F-4500-87BC-544EBB6C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104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64</cp:revision>
  <dcterms:created xsi:type="dcterms:W3CDTF">2014-12-20T10:23:00Z</dcterms:created>
  <dcterms:modified xsi:type="dcterms:W3CDTF">2015-08-23T07:20:00Z</dcterms:modified>
</cp:coreProperties>
</file>