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92" w:rsidRPr="005F53CA" w:rsidRDefault="003D3E4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50492" w:rsidRPr="005F53CA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DE048C" w:rsidRPr="005F53CA" w:rsidRDefault="00DE048C" w:rsidP="00DE048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DE048C" w:rsidRPr="005F53CA" w:rsidRDefault="00DE048C" w:rsidP="00DE048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5F53CA">
        <w:rPr>
          <w:rFonts w:ascii="IRBadr" w:hAnsi="IRBadr" w:cs="IRBadr"/>
          <w:sz w:val="28"/>
          <w:rtl/>
        </w:rPr>
        <w:fldChar w:fldCharType="begin"/>
      </w:r>
      <w:r w:rsidRPr="005F53CA">
        <w:rPr>
          <w:rFonts w:ascii="IRBadr" w:hAnsi="IRBadr" w:cs="IRBadr"/>
          <w:sz w:val="28"/>
          <w:rtl/>
        </w:rPr>
        <w:instrText xml:space="preserve"> </w:instrText>
      </w:r>
      <w:r w:rsidRPr="005F53CA">
        <w:rPr>
          <w:rFonts w:ascii="IRBadr" w:hAnsi="IRBadr" w:cs="IRBadr"/>
          <w:sz w:val="28"/>
        </w:rPr>
        <w:instrText>TOC</w:instrText>
      </w:r>
      <w:r w:rsidRPr="005F53CA">
        <w:rPr>
          <w:rFonts w:ascii="IRBadr" w:hAnsi="IRBadr" w:cs="IRBadr"/>
          <w:sz w:val="28"/>
          <w:rtl/>
        </w:rPr>
        <w:instrText xml:space="preserve"> \</w:instrText>
      </w:r>
      <w:r w:rsidRPr="005F53CA">
        <w:rPr>
          <w:rFonts w:ascii="IRBadr" w:hAnsi="IRBadr" w:cs="IRBadr"/>
          <w:sz w:val="28"/>
        </w:rPr>
        <w:instrText>o "</w:instrText>
      </w:r>
      <w:r w:rsidRPr="005F53CA">
        <w:rPr>
          <w:rFonts w:ascii="IRBadr" w:hAnsi="IRBadr" w:cs="IRBadr"/>
          <w:sz w:val="28"/>
          <w:rtl/>
        </w:rPr>
        <w:instrText>1-4</w:instrText>
      </w:r>
      <w:r w:rsidRPr="005F53CA">
        <w:rPr>
          <w:rFonts w:ascii="IRBadr" w:hAnsi="IRBadr" w:cs="IRBadr"/>
          <w:sz w:val="28"/>
        </w:rPr>
        <w:instrText>" \h \z \u</w:instrText>
      </w:r>
      <w:r w:rsidRPr="005F53CA">
        <w:rPr>
          <w:rFonts w:ascii="IRBadr" w:hAnsi="IRBadr" w:cs="IRBadr"/>
          <w:sz w:val="28"/>
          <w:rtl/>
        </w:rPr>
        <w:instrText xml:space="preserve"> </w:instrText>
      </w:r>
      <w:r w:rsidRPr="005F53CA">
        <w:rPr>
          <w:rFonts w:ascii="IRBadr" w:hAnsi="IRBadr" w:cs="IRBadr"/>
          <w:sz w:val="28"/>
          <w:rtl/>
        </w:rPr>
        <w:fldChar w:fldCharType="separate"/>
      </w:r>
      <w:hyperlink w:anchor="_Toc428090817" w:history="1">
        <w:r w:rsidRPr="005F53CA">
          <w:rPr>
            <w:rStyle w:val="Hyperlink"/>
            <w:rFonts w:ascii="IRBadr" w:hAnsi="IRBadr" w:cs="IRBadr"/>
            <w:noProof/>
            <w:rtl/>
          </w:rPr>
          <w:t>حد ارتداد</w:t>
        </w:r>
        <w:r w:rsidRPr="005F53CA">
          <w:rPr>
            <w:rFonts w:ascii="IRBadr" w:hAnsi="IRBadr" w:cs="IRBadr"/>
            <w:noProof/>
            <w:webHidden/>
          </w:rPr>
          <w:tab/>
        </w:r>
        <w:r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5F53CA">
          <w:rPr>
            <w:rFonts w:ascii="IRBadr" w:hAnsi="IRBadr" w:cs="IRBadr"/>
            <w:noProof/>
            <w:webHidden/>
          </w:rPr>
          <w:instrText xml:space="preserve"> PAGEREF _Toc428090817 \h </w:instrText>
        </w:r>
        <w:r w:rsidRPr="005F53CA">
          <w:rPr>
            <w:rStyle w:val="Hyperlink"/>
            <w:rFonts w:ascii="IRBadr" w:hAnsi="IRBadr" w:cs="IRBadr"/>
            <w:noProof/>
            <w:rtl/>
          </w:rPr>
        </w:r>
        <w:r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5F53CA">
          <w:rPr>
            <w:rFonts w:ascii="IRBadr" w:hAnsi="IRBadr" w:cs="IRBadr"/>
            <w:noProof/>
            <w:webHidden/>
          </w:rPr>
          <w:t>1</w:t>
        </w:r>
        <w:r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818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حق اجرای حد در ارتداد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_Toc428090818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1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819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مستند اول مسئله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_Toc428090819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2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820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روایت اول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_Toc428090820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2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821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_Toc428090821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2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822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روایت دوم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_Toc428090822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2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823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مستند دوم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_Toc428090823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3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824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مستند سوم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_Toc428090824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3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090825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شک در اعمال ولایت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_Toc428090825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3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090826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موارد استثناء از قاعده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_Toc428090826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3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090827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_Toc428090827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3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C22112" w:rsidP="00DE048C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090828" w:history="1">
        <w:r w:rsidR="00DE048C" w:rsidRPr="005F53CA">
          <w:rPr>
            <w:rStyle w:val="Hyperlink"/>
            <w:rFonts w:ascii="IRBadr" w:hAnsi="IRBadr" w:cs="IRBadr"/>
            <w:noProof/>
            <w:rtl/>
          </w:rPr>
          <w:t>نوعیت اجازه در روایات</w:t>
        </w:r>
        <w:r w:rsidR="00DE048C" w:rsidRPr="005F53CA">
          <w:rPr>
            <w:rFonts w:ascii="IRBadr" w:hAnsi="IRBadr" w:cs="IRBadr"/>
            <w:noProof/>
            <w:webHidden/>
          </w:rPr>
          <w:tab/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E048C" w:rsidRPr="005F53CA">
          <w:rPr>
            <w:rFonts w:ascii="IRBadr" w:hAnsi="IRBadr" w:cs="IRBadr"/>
            <w:noProof/>
            <w:webHidden/>
          </w:rPr>
          <w:instrText xml:space="preserve"> PAGEREF _Toc428090828 \h </w:instrText>
        </w:r>
        <w:r w:rsidR="00DE048C" w:rsidRPr="005F53CA">
          <w:rPr>
            <w:rStyle w:val="Hyperlink"/>
            <w:rFonts w:ascii="IRBadr" w:hAnsi="IRBadr" w:cs="IRBadr"/>
            <w:noProof/>
            <w:rtl/>
          </w:rPr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E048C" w:rsidRPr="005F53CA">
          <w:rPr>
            <w:rFonts w:ascii="IRBadr" w:hAnsi="IRBadr" w:cs="IRBadr"/>
            <w:noProof/>
            <w:webHidden/>
          </w:rPr>
          <w:t>4</w:t>
        </w:r>
        <w:r w:rsidR="00DE048C" w:rsidRPr="005F53C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E048C" w:rsidRPr="005F53CA" w:rsidRDefault="00DE048C" w:rsidP="00DE048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F53CA" w:rsidRDefault="005F53CA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8090817"/>
      <w:r>
        <w:rPr>
          <w:rFonts w:ascii="IRBadr" w:hAnsi="IRBadr" w:cs="IRBadr"/>
          <w:rtl/>
        </w:rPr>
        <w:br w:type="page"/>
      </w:r>
    </w:p>
    <w:p w:rsidR="00F50492" w:rsidRPr="005F53CA" w:rsidRDefault="00F50492" w:rsidP="00F50492">
      <w:pPr>
        <w:pStyle w:val="Heading1"/>
        <w:rPr>
          <w:rFonts w:ascii="IRBadr" w:hAnsi="IRBadr" w:cs="IRBadr"/>
          <w:rtl/>
        </w:rPr>
      </w:pPr>
      <w:r w:rsidRPr="005F53CA">
        <w:rPr>
          <w:rFonts w:ascii="IRBadr" w:hAnsi="IRBadr" w:cs="IRBadr"/>
          <w:rtl/>
        </w:rPr>
        <w:lastRenderedPageBreak/>
        <w:t>حد ارتداد</w:t>
      </w:r>
      <w:bookmarkEnd w:id="0"/>
    </w:p>
    <w:p w:rsidR="00F50492" w:rsidRPr="005F53CA" w:rsidRDefault="00F50492" w:rsidP="00F50492">
      <w:pPr>
        <w:pStyle w:val="Heading1"/>
        <w:rPr>
          <w:rFonts w:ascii="IRBadr" w:hAnsi="IRBadr" w:cs="IRBadr"/>
          <w:rtl/>
        </w:rPr>
      </w:pPr>
      <w:bookmarkStart w:id="1" w:name="_Toc428090818"/>
      <w:r w:rsidRPr="005F53CA">
        <w:rPr>
          <w:rFonts w:ascii="IRBadr" w:hAnsi="IRBadr" w:cs="IRBadr"/>
          <w:rtl/>
        </w:rPr>
        <w:t>حق اجرای حد در ارتداد</w:t>
      </w:r>
      <w:bookmarkEnd w:id="1"/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>فرع دیگری که در اینجا مطرح خواهد شد،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است که حق اجرای حد ارتداد با چه کسی است؟</w:t>
      </w:r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در اینجا باید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مقدمه و قاعده اولیه گفت که اجرای حدود به دست حاکم است.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قبال این اصل روایاتی وجود دارد که لازم بدان اشاره شود.</w:t>
      </w:r>
    </w:p>
    <w:p w:rsidR="00F50492" w:rsidRPr="005F53CA" w:rsidRDefault="00F50492" w:rsidP="00F50492">
      <w:pPr>
        <w:pStyle w:val="Heading2"/>
        <w:rPr>
          <w:rFonts w:ascii="IRBadr" w:hAnsi="IRBadr" w:cs="IRBadr"/>
          <w:rtl/>
        </w:rPr>
      </w:pPr>
      <w:bookmarkStart w:id="2" w:name="_Toc428090819"/>
      <w:r w:rsidRPr="005F53CA">
        <w:rPr>
          <w:rFonts w:ascii="IRBadr" w:hAnsi="IRBadr" w:cs="IRBadr"/>
          <w:rtl/>
        </w:rPr>
        <w:t xml:space="preserve">مستند اول </w:t>
      </w:r>
      <w:r w:rsidR="003D3E42" w:rsidRPr="005F53CA">
        <w:rPr>
          <w:rFonts w:ascii="IRBadr" w:hAnsi="IRBadr" w:cs="IRBadr"/>
          <w:rtl/>
        </w:rPr>
        <w:t>مسئله</w:t>
      </w:r>
      <w:bookmarkEnd w:id="2"/>
    </w:p>
    <w:p w:rsidR="00F50492" w:rsidRPr="005F53CA" w:rsidRDefault="00F50492" w:rsidP="00F50492">
      <w:pPr>
        <w:pStyle w:val="Heading2"/>
        <w:rPr>
          <w:rFonts w:ascii="IRBadr" w:hAnsi="IRBadr" w:cs="IRBadr"/>
          <w:rtl/>
        </w:rPr>
      </w:pPr>
      <w:bookmarkStart w:id="3" w:name="_Toc428090820"/>
      <w:r w:rsidRPr="005F53CA">
        <w:rPr>
          <w:rFonts w:ascii="IRBadr" w:hAnsi="IRBadr" w:cs="IRBadr"/>
          <w:rtl/>
        </w:rPr>
        <w:t>روایت اول</w:t>
      </w:r>
      <w:bookmarkEnd w:id="3"/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این روایت در ابواب مقدمات حدود،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جلد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هیجده، باب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بیست‌وهشت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>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حدیث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اول، صفحه سیصد و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سی‌وهشت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و دارای سند معتبری است؛</w:t>
      </w:r>
    </w:p>
    <w:p w:rsidR="00F50492" w:rsidRPr="005F53CA" w:rsidRDefault="00F50492" w:rsidP="00F50492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«عَنْهُ عَنْ عَلِ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مُحَمَّدٍ عَنِ الْقَاسِمِ بْنِ مُحَمَّدٍ عَنْ سُلَ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مَانَ بْنِ دَاوُدَ الْمِنْقَرِ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حَفْصِ بْنِ غِ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اثٍ قَالَ: سَأَلْتُ أَبَا عَبْدِ اللَّهِ ع قُلْتُ مَنْ 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مُ الْحُدُودَ السُّلْطَانُ أَوِ الْقَاضِ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فَقَالَ إِقَامَةُ الْحُدُودِ إِلَ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مَنْ إِلَ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الْحُ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مُ.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F50492" w:rsidRPr="005F53CA" w:rsidRDefault="00F50492" w:rsidP="00F50492">
      <w:pPr>
        <w:pStyle w:val="Heading2"/>
        <w:rPr>
          <w:rFonts w:ascii="IRBadr" w:hAnsi="IRBadr" w:cs="IRBadr"/>
          <w:rtl/>
        </w:rPr>
      </w:pPr>
      <w:bookmarkStart w:id="5" w:name="_Toc428090821"/>
      <w:r w:rsidRPr="005F53CA">
        <w:rPr>
          <w:rFonts w:ascii="IRBadr" w:hAnsi="IRBadr" w:cs="IRBadr"/>
          <w:rtl/>
        </w:rPr>
        <w:t>بررسی روایت</w:t>
      </w:r>
      <w:bookmarkEnd w:id="5"/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امام در پاسخ سؤال راوی که چه کسی حد را اجرا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فرمودند؛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حاکم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اصلی یا خود قاضی و احتمالاً مراد از قاضی،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قضاة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منصوب‌شده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از ناحیه حکومت است.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یک قاعده است که اقامه حدود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به کسی که حکم به او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سپرده‌شده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است و بیان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در روایت بیانی حصری است.</w:t>
      </w:r>
    </w:p>
    <w:p w:rsidR="00F50492" w:rsidRPr="005F53CA" w:rsidRDefault="003D3E4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F50492" w:rsidRPr="005F53CA">
        <w:rPr>
          <w:rFonts w:ascii="IRBadr" w:hAnsi="IRBadr" w:cs="IRBadr"/>
          <w:sz w:val="28"/>
          <w:szCs w:val="28"/>
          <w:rtl/>
          <w:lang w:bidi="fa-IR"/>
        </w:rPr>
        <w:t xml:space="preserve"> که در اینجا وجود دارد این است که امام 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>به‌جای</w:t>
      </w:r>
      <w:r w:rsidR="00F50492" w:rsidRPr="005F53CA">
        <w:rPr>
          <w:rFonts w:ascii="IRBadr" w:hAnsi="IRBadr" w:cs="IRBadr"/>
          <w:sz w:val="28"/>
          <w:szCs w:val="28"/>
          <w:rtl/>
          <w:lang w:bidi="fa-IR"/>
        </w:rPr>
        <w:t xml:space="preserve"> تعبیر به حاکم یا قاضی به کسی که حکم راجع به اوست تعبیر نمودند.</w:t>
      </w:r>
    </w:p>
    <w:p w:rsidR="00F50492" w:rsidRPr="005F53CA" w:rsidRDefault="00F50492" w:rsidP="00F50492">
      <w:pPr>
        <w:pStyle w:val="Heading2"/>
        <w:rPr>
          <w:rFonts w:ascii="IRBadr" w:hAnsi="IRBadr" w:cs="IRBadr"/>
          <w:rtl/>
        </w:rPr>
      </w:pPr>
      <w:bookmarkStart w:id="6" w:name="_Toc428090822"/>
      <w:r w:rsidRPr="005F53CA">
        <w:rPr>
          <w:rFonts w:ascii="IRBadr" w:hAnsi="IRBadr" w:cs="IRBadr"/>
          <w:rtl/>
        </w:rPr>
        <w:lastRenderedPageBreak/>
        <w:t>روایت دوم</w:t>
      </w:r>
      <w:bookmarkEnd w:id="6"/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در این میان مرحوم مفید در مقنعه متن دیگری در این رابطه نقل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که معلوم نیست روایت باشد؛</w:t>
      </w:r>
    </w:p>
    <w:p w:rsidR="00F50492" w:rsidRPr="005F53CA" w:rsidRDefault="00F50492" w:rsidP="00F50492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«فأما إقامة الحدود فهو إل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سلطان الإسلام المنصوب من قبل الله تعال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 هم أئمة الهد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من آل محمد ع و من نصبوه لذل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من الأمراء و الح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ام و قد فوضوا النظر ف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 إل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فقهاء ش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عتهم مع الإم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ان»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>گویا این روایت نیست و ظاهراً مضمونی است که خود مرحوم مفید استفاده کردند.</w:t>
      </w:r>
    </w:p>
    <w:p w:rsidR="00F50492" w:rsidRPr="005F53CA" w:rsidRDefault="00F50492" w:rsidP="00F50492">
      <w:pPr>
        <w:pStyle w:val="Heading2"/>
        <w:rPr>
          <w:rFonts w:ascii="IRBadr" w:hAnsi="IRBadr" w:cs="IRBadr"/>
          <w:rtl/>
        </w:rPr>
      </w:pPr>
      <w:bookmarkStart w:id="7" w:name="_Toc428090823"/>
      <w:r w:rsidRPr="005F53CA">
        <w:rPr>
          <w:rFonts w:ascii="IRBadr" w:hAnsi="IRBadr" w:cs="IRBadr"/>
          <w:rtl/>
        </w:rPr>
        <w:t>مستند دوم</w:t>
      </w:r>
      <w:bookmarkEnd w:id="7"/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مستند دومی که برای این </w:t>
      </w:r>
      <w:r w:rsidR="00106C9B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ذکر کرد این است که به دنبال تجویز اجرای حدود به افراد دیگر در جامعه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هرج‌ومرج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ایجاد خواهد شد و اختلال نظام لازم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>.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احکام فردی طبعاً اختیار آن به خود افراد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سپرده‌شده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در حوزه اجتماعی عقل در اینجا التزامی دارد که هر فردی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زمام را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بر عهده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گیرد.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>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دلیل عقلی است که شرع نیز آن را تأیید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>.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در روایات نیز بر این مطلب صراحتاً تأکید شده که در غیر این صورت اختلال نظام لازم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50492" w:rsidRPr="005F53CA" w:rsidRDefault="00F50492" w:rsidP="00F50492">
      <w:pPr>
        <w:pStyle w:val="Heading2"/>
        <w:rPr>
          <w:rFonts w:ascii="IRBadr" w:hAnsi="IRBadr" w:cs="IRBadr"/>
          <w:rtl/>
        </w:rPr>
      </w:pPr>
      <w:bookmarkStart w:id="8" w:name="_Toc428090824"/>
      <w:r w:rsidRPr="005F53CA">
        <w:rPr>
          <w:rFonts w:ascii="IRBadr" w:hAnsi="IRBadr" w:cs="IRBadr"/>
          <w:rtl/>
        </w:rPr>
        <w:t>مستند سوم</w:t>
      </w:r>
      <w:bookmarkEnd w:id="8"/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دلیل دیگر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است که راجع به حکومت وجود دارد که قائل است جامعه نیازمند وجود حکومت است و بر این اساس است که ولایت اثبات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. در آنجا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است که مسائلی در جامعه وجود دارد که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آنان را به همه افراد سپرد.</w:t>
      </w:r>
    </w:p>
    <w:p w:rsidR="00F50492" w:rsidRPr="005F53CA" w:rsidRDefault="003D3E4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F50492" w:rsidRPr="005F53CA">
        <w:rPr>
          <w:rFonts w:ascii="IRBadr" w:hAnsi="IRBadr" w:cs="IRBadr"/>
          <w:sz w:val="28"/>
          <w:szCs w:val="28"/>
          <w:rtl/>
          <w:lang w:bidi="fa-IR"/>
        </w:rPr>
        <w:t xml:space="preserve"> ادله لزوم حکومت این است که؛</w:t>
      </w:r>
    </w:p>
    <w:p w:rsidR="00F50492" w:rsidRPr="005F53CA" w:rsidRDefault="00F50492" w:rsidP="00F50492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«وَ إِنَّهُ لَا بُدَّ لِلنَّاسِ مِنْ أَمِ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رٍ بَرٍّ أَوْ فَاجِرٍ»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روی همین موارد بود که علماء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سلطنت‌های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صفوی و غیره را تأیید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چراکه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می‌گفتند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بهتر از این موارد فعلاً یافت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50492" w:rsidRPr="005F53CA" w:rsidRDefault="00F50492" w:rsidP="00F50492">
      <w:pPr>
        <w:pStyle w:val="Heading3"/>
        <w:rPr>
          <w:rFonts w:ascii="IRBadr" w:hAnsi="IRBadr" w:cs="IRBadr"/>
          <w:rtl/>
        </w:rPr>
      </w:pPr>
      <w:bookmarkStart w:id="9" w:name="_Toc428090825"/>
      <w:r w:rsidRPr="005F53CA">
        <w:rPr>
          <w:rFonts w:ascii="IRBadr" w:hAnsi="IRBadr" w:cs="IRBadr"/>
          <w:rtl/>
        </w:rPr>
        <w:lastRenderedPageBreak/>
        <w:t>شک در اعمال ولایت</w:t>
      </w:r>
      <w:bookmarkEnd w:id="9"/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اگر نسبت به فردی شک وجود داشته باشد که او حق اعمال ولایت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حدود را دارد،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بر عدم وجود این حق است.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قاعده اصلی در باب حدود بود،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باب تعزیرات نیز جریان دارد.</w:t>
      </w:r>
    </w:p>
    <w:p w:rsidR="00F50492" w:rsidRPr="005F53CA" w:rsidRDefault="00F50492" w:rsidP="00106C9B">
      <w:pPr>
        <w:pStyle w:val="Heading4"/>
        <w:rPr>
          <w:rtl/>
        </w:rPr>
      </w:pPr>
      <w:bookmarkStart w:id="10" w:name="_Toc428090826"/>
      <w:r w:rsidRPr="005F53CA">
        <w:rPr>
          <w:rtl/>
        </w:rPr>
        <w:t>موارد استثناء از قاعده</w:t>
      </w:r>
      <w:bookmarkEnd w:id="10"/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این قاعده اولی است اما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دراین‌بین</w:t>
      </w:r>
      <w:r w:rsidR="00106C9B">
        <w:rPr>
          <w:rFonts w:ascii="IRBadr" w:hAnsi="IRBadr" w:cs="IRBadr"/>
          <w:sz w:val="28"/>
          <w:szCs w:val="28"/>
          <w:rtl/>
          <w:lang w:bidi="fa-IR"/>
        </w:rPr>
        <w:t xml:space="preserve"> استثنا</w:t>
      </w:r>
      <w:r w:rsidR="00106C9B">
        <w:rPr>
          <w:rFonts w:ascii="IRBadr" w:hAnsi="IRBadr" w:cs="IRBadr" w:hint="cs"/>
          <w:sz w:val="28"/>
          <w:szCs w:val="28"/>
          <w:rtl/>
          <w:lang w:bidi="fa-IR"/>
        </w:rPr>
        <w:t>ئ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>اتی نیز وجود دارد.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مواردی که فرد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از عرض،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مال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و نفس خود دفاع کند.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عقل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نیز این را درک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در موردی که جان فرد در معرض خطر است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منتظر ماند که حکم حاکم در این زمینه چیست.</w:t>
      </w:r>
    </w:p>
    <w:p w:rsidR="00F50492" w:rsidRPr="005F53CA" w:rsidRDefault="00F50492" w:rsidP="00106C9B">
      <w:pPr>
        <w:pStyle w:val="Heading4"/>
        <w:rPr>
          <w:rtl/>
        </w:rPr>
      </w:pPr>
      <w:bookmarkStart w:id="11" w:name="_Toc428090827"/>
      <w:r w:rsidRPr="005F53CA">
        <w:rPr>
          <w:rtl/>
        </w:rPr>
        <w:t>مستندات بحث</w:t>
      </w:r>
      <w:bookmarkEnd w:id="11"/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>یکی از این موارد در بحث سب النبی بود که روایات آن ذکر شد؛</w:t>
      </w:r>
    </w:p>
    <w:p w:rsidR="00F50492" w:rsidRPr="005F53CA" w:rsidRDefault="00F50492" w:rsidP="00F50492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«وَ رَوَ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الْحَسَنُ بْنُ مَحْبُوبٍ عَنْ أَبِ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وبَ عَنْ مُحَمَّدِ بْنِ مُسْلِمٍ عَنْ أَبِ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 عَوْرَةُ الْمُؤْمِنِ عَلَ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الْمُؤْمِنِ حَرَامٌ وَ قَالَ مَنِ اطَّلَعَ عَلَ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مُؤْمِنٍ فِ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مَنْزِلِهِ فَعَ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نَاهُ مُبَاحَتَانِ لِلْمُؤْمِنِ فِ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تِلْ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الْحَالِ وَ مَنْ دَمَرَعَلَ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مُؤْمِنٍ فِ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مَنْزِلِهِ بِغَ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 إِذْنِهِ فَدَمُهُ مُبَاحٌ لِلْمُؤْمِنِ فِ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تِلْ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الْحَالِ وَ مَنْ جَحَدَ نَبِ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اً مُرْسَلًا نُبُوَّتَهُ وَ 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ذَّبَهُ فَدَمُهُ مُبَاحٌ قَالَ فَقُلْتُ لَهُ أَ رَأَ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 مَنْ جَحَدَ الْإِمَامَ مِنْ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 مَا حَالُهُ فَقَالَ مَنْ جَحَدَ إِمَاماً بَرِئَ مِنَ اللَّهِ وَ بَرِئَ مِنْهُ وَ مِنْ دِ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نِهِ فَهُوَ 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افِرٌ مُرْتَدٌّ عَنِ الْإِسْلَامِ لِأَنَّ الْإِمَامَ مِنَ اللَّهِ وَ دِ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نَهُ دِ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نُ اللَّهِ وَ مَنْ بَرِئَ مِنْ دِ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اللَّهِ فَهُوَ 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افِرٌ وَ دَمُهُ مُبَاحٌ فِ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تِلْ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الْحَالِ إِلَّا أَنْ 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رْجِعَ وَ 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تُوبَ إِلَ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اللَّهِ عَزَّ وَ جَلَّ مِمَّا قَالَ قَالَ وَ مَنْ فَتَ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بِمُؤْمِنٍ 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دُ مَالَهُ وَ نَفْسَهُ فَدَمُهُ مُبَاحٌ لِلْمُؤْمِنِ فِ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تِلْ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الْحَالِ</w:t>
      </w:r>
      <w:r w:rsidR="003D3E42"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>‌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5F53C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F50492" w:rsidRPr="00106C9B" w:rsidRDefault="00F50492" w:rsidP="00106C9B">
      <w:pPr>
        <w:pStyle w:val="Heading4"/>
        <w:rPr>
          <w:rtl/>
        </w:rPr>
      </w:pPr>
      <w:bookmarkStart w:id="12" w:name="_Toc428090828"/>
      <w:r w:rsidRPr="00106C9B">
        <w:rPr>
          <w:rtl/>
        </w:rPr>
        <w:t>نوعیت اجازه در روایات</w:t>
      </w:r>
      <w:bookmarkEnd w:id="12"/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>سؤالی که در اینجا وجود دارد،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اجازه‌ای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که در روایت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حکمی ولایی است یا الهی؟</w:t>
      </w:r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F53CA">
        <w:rPr>
          <w:rFonts w:ascii="IRBadr" w:hAnsi="IRBadr" w:cs="IRBadr"/>
          <w:sz w:val="28"/>
          <w:szCs w:val="28"/>
          <w:rtl/>
          <w:lang w:bidi="fa-IR"/>
        </w:rPr>
        <w:t>ظهور روایت در این است که الهی است،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اصل در احکام </w:t>
      </w:r>
      <w:r w:rsidR="003D3E42" w:rsidRPr="005F53CA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5F53CA">
        <w:rPr>
          <w:rFonts w:ascii="IRBadr" w:hAnsi="IRBadr" w:cs="IRBadr"/>
          <w:sz w:val="28"/>
          <w:szCs w:val="28"/>
          <w:rtl/>
          <w:lang w:bidi="fa-IR"/>
        </w:rPr>
        <w:t xml:space="preserve"> توسط ائمه اطهار نیز بر الهی بودن است.</w:t>
      </w:r>
    </w:p>
    <w:p w:rsidR="00F50492" w:rsidRPr="005F53CA" w:rsidRDefault="00F50492" w:rsidP="00F504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5F53CA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5F53CA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12" w:rsidRDefault="00C22112" w:rsidP="000D5800">
      <w:pPr>
        <w:spacing w:after="0" w:line="240" w:lineRule="auto"/>
      </w:pPr>
      <w:r>
        <w:separator/>
      </w:r>
    </w:p>
  </w:endnote>
  <w:endnote w:type="continuationSeparator" w:id="0">
    <w:p w:rsidR="00C22112" w:rsidRDefault="00C2211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12" w:rsidRDefault="00C22112" w:rsidP="00DE048C">
      <w:pPr>
        <w:bidi/>
        <w:spacing w:after="0" w:line="240" w:lineRule="auto"/>
      </w:pPr>
      <w:r>
        <w:separator/>
      </w:r>
    </w:p>
  </w:footnote>
  <w:footnote w:type="continuationSeparator" w:id="0">
    <w:p w:rsidR="00C22112" w:rsidRDefault="00C22112" w:rsidP="000D5800">
      <w:pPr>
        <w:spacing w:after="0" w:line="240" w:lineRule="auto"/>
      </w:pPr>
      <w:r>
        <w:continuationSeparator/>
      </w:r>
    </w:p>
  </w:footnote>
  <w:footnote w:id="1">
    <w:p w:rsidR="00F50492" w:rsidRPr="00106C9B" w:rsidRDefault="00F50492" w:rsidP="00F50492">
      <w:pPr>
        <w:pStyle w:val="FootnoteText"/>
        <w:rPr>
          <w:rFonts w:ascii="IRBadr" w:hAnsi="IRBadr" w:cs="IRBadr"/>
          <w:b/>
          <w:bCs/>
          <w:rtl/>
        </w:rPr>
      </w:pPr>
      <w:bookmarkStart w:id="4" w:name="_GoBack"/>
      <w:r w:rsidRPr="00106C9B">
        <w:rPr>
          <w:rStyle w:val="FootnoteReference"/>
          <w:rFonts w:ascii="IRBadr" w:hAnsi="IRBadr" w:cs="IRBadr"/>
          <w:b/>
          <w:bCs/>
        </w:rPr>
        <w:footnoteRef/>
      </w:r>
      <w:r w:rsidRPr="00106C9B">
        <w:rPr>
          <w:rFonts w:ascii="IRBadr" w:hAnsi="IRBadr" w:cs="IRBadr"/>
          <w:b/>
          <w:bCs/>
        </w:rPr>
        <w:t xml:space="preserve"> </w:t>
      </w:r>
      <w:r w:rsidR="00106C9B" w:rsidRPr="00106C9B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>تهذ</w:t>
      </w:r>
      <w:r w:rsidR="003D3E42" w:rsidRPr="00106C9B">
        <w:rPr>
          <w:rFonts w:ascii="IRBadr" w:hAnsi="IRBadr" w:cs="IRBadr"/>
          <w:b/>
          <w:bCs/>
          <w:color w:val="000000" w:themeColor="text1"/>
          <w:rtl/>
        </w:rPr>
        <w:t>ی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>ب الأح</w:t>
      </w:r>
      <w:r w:rsidR="003D3E42" w:rsidRPr="00106C9B">
        <w:rPr>
          <w:rFonts w:ascii="IRBadr" w:hAnsi="IRBadr" w:cs="IRBadr"/>
          <w:b/>
          <w:bCs/>
          <w:color w:val="000000" w:themeColor="text1"/>
          <w:rtl/>
        </w:rPr>
        <w:t>ک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 xml:space="preserve">ام؛ </w:t>
      </w:r>
      <w:r w:rsidR="003D3E42" w:rsidRPr="00106C9B">
        <w:rPr>
          <w:rFonts w:ascii="IRBadr" w:hAnsi="IRBadr" w:cs="IRBadr"/>
          <w:b/>
          <w:bCs/>
          <w:color w:val="000000" w:themeColor="text1"/>
          <w:rtl/>
        </w:rPr>
        <w:t>ج 6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>، ص: 314</w:t>
      </w:r>
      <w:r w:rsidR="00106C9B" w:rsidRPr="00106C9B">
        <w:rPr>
          <w:rFonts w:ascii="IRBadr" w:hAnsi="IRBadr" w:cs="IRBadr"/>
          <w:b/>
          <w:bCs/>
          <w:rtl/>
        </w:rPr>
        <w:t>.</w:t>
      </w:r>
    </w:p>
  </w:footnote>
  <w:footnote w:id="2">
    <w:p w:rsidR="00F50492" w:rsidRPr="00106C9B" w:rsidRDefault="00F50492" w:rsidP="00F50492">
      <w:pPr>
        <w:pStyle w:val="FootnoteText"/>
        <w:rPr>
          <w:rFonts w:ascii="IRBadr" w:hAnsi="IRBadr" w:cs="IRBadr"/>
          <w:b/>
          <w:bCs/>
          <w:rtl/>
        </w:rPr>
      </w:pPr>
      <w:r w:rsidRPr="00106C9B">
        <w:rPr>
          <w:rStyle w:val="FootnoteReference"/>
          <w:rFonts w:ascii="IRBadr" w:hAnsi="IRBadr" w:cs="IRBadr"/>
          <w:b/>
          <w:bCs/>
        </w:rPr>
        <w:footnoteRef/>
      </w:r>
      <w:r w:rsidRPr="00106C9B">
        <w:rPr>
          <w:rFonts w:ascii="IRBadr" w:hAnsi="IRBadr" w:cs="IRBadr"/>
          <w:b/>
          <w:bCs/>
        </w:rPr>
        <w:t xml:space="preserve"> </w:t>
      </w:r>
      <w:r w:rsidR="00106C9B" w:rsidRPr="00106C9B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>المقنعة (للش</w:t>
      </w:r>
      <w:r w:rsidR="003D3E42" w:rsidRPr="00106C9B">
        <w:rPr>
          <w:rFonts w:ascii="IRBadr" w:hAnsi="IRBadr" w:cs="IRBadr"/>
          <w:b/>
          <w:bCs/>
          <w:color w:val="000000" w:themeColor="text1"/>
          <w:rtl/>
        </w:rPr>
        <w:t>ی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>خ المف</w:t>
      </w:r>
      <w:r w:rsidR="003D3E42" w:rsidRPr="00106C9B">
        <w:rPr>
          <w:rFonts w:ascii="IRBadr" w:hAnsi="IRBadr" w:cs="IRBadr"/>
          <w:b/>
          <w:bCs/>
          <w:color w:val="000000" w:themeColor="text1"/>
          <w:rtl/>
        </w:rPr>
        <w:t>ی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>د)؛ ص: 810</w:t>
      </w:r>
      <w:r w:rsidR="00106C9B" w:rsidRPr="00106C9B">
        <w:rPr>
          <w:rFonts w:ascii="IRBadr" w:hAnsi="IRBadr" w:cs="IRBadr"/>
          <w:b/>
          <w:bCs/>
          <w:rtl/>
        </w:rPr>
        <w:t>.</w:t>
      </w:r>
    </w:p>
  </w:footnote>
  <w:footnote w:id="3">
    <w:p w:rsidR="00F50492" w:rsidRPr="00106C9B" w:rsidRDefault="00F50492" w:rsidP="00F50492">
      <w:pPr>
        <w:pStyle w:val="FootnoteText"/>
        <w:rPr>
          <w:rFonts w:ascii="IRBadr" w:hAnsi="IRBadr" w:cs="IRBadr"/>
          <w:b/>
          <w:bCs/>
          <w:rtl/>
        </w:rPr>
      </w:pPr>
      <w:r w:rsidRPr="00106C9B">
        <w:rPr>
          <w:rStyle w:val="FootnoteReference"/>
          <w:rFonts w:ascii="IRBadr" w:hAnsi="IRBadr" w:cs="IRBadr"/>
          <w:b/>
          <w:bCs/>
        </w:rPr>
        <w:footnoteRef/>
      </w:r>
      <w:r w:rsidRPr="00106C9B">
        <w:rPr>
          <w:rFonts w:ascii="IRBadr" w:hAnsi="IRBadr" w:cs="IRBadr"/>
          <w:b/>
          <w:bCs/>
        </w:rPr>
        <w:t xml:space="preserve"> </w:t>
      </w:r>
      <w:r w:rsidR="00106C9B" w:rsidRPr="00106C9B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>نهج البلاغة؛ ص: 48</w:t>
      </w:r>
      <w:r w:rsidR="00106C9B" w:rsidRPr="00106C9B">
        <w:rPr>
          <w:rFonts w:ascii="IRBadr" w:hAnsi="IRBadr" w:cs="IRBadr"/>
          <w:b/>
          <w:bCs/>
          <w:rtl/>
        </w:rPr>
        <w:t>.</w:t>
      </w:r>
    </w:p>
  </w:footnote>
  <w:footnote w:id="4">
    <w:p w:rsidR="00F50492" w:rsidRPr="00106C9B" w:rsidRDefault="00F50492" w:rsidP="00F50492">
      <w:pPr>
        <w:pStyle w:val="FootnoteText"/>
        <w:rPr>
          <w:rFonts w:ascii="IRBadr" w:hAnsi="IRBadr" w:cs="IRBadr"/>
          <w:b/>
          <w:bCs/>
          <w:rtl/>
        </w:rPr>
      </w:pPr>
      <w:r w:rsidRPr="00106C9B">
        <w:rPr>
          <w:rStyle w:val="FootnoteReference"/>
          <w:rFonts w:ascii="IRBadr" w:hAnsi="IRBadr" w:cs="IRBadr"/>
          <w:b/>
          <w:bCs/>
        </w:rPr>
        <w:footnoteRef/>
      </w:r>
      <w:r w:rsidRPr="00106C9B">
        <w:rPr>
          <w:rFonts w:ascii="IRBadr" w:hAnsi="IRBadr" w:cs="IRBadr"/>
          <w:b/>
          <w:bCs/>
        </w:rPr>
        <w:t xml:space="preserve"> </w:t>
      </w:r>
      <w:r w:rsidR="00106C9B" w:rsidRPr="00106C9B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 xml:space="preserve">من لا </w:t>
      </w:r>
      <w:r w:rsidR="003D3E42" w:rsidRPr="00106C9B">
        <w:rPr>
          <w:rFonts w:ascii="IRBadr" w:hAnsi="IRBadr" w:cs="IRBadr"/>
          <w:b/>
          <w:bCs/>
          <w:color w:val="000000" w:themeColor="text1"/>
          <w:rtl/>
        </w:rPr>
        <w:t>ی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>حضره الفق</w:t>
      </w:r>
      <w:r w:rsidR="003D3E42" w:rsidRPr="00106C9B">
        <w:rPr>
          <w:rFonts w:ascii="IRBadr" w:hAnsi="IRBadr" w:cs="IRBadr"/>
          <w:b/>
          <w:bCs/>
          <w:color w:val="000000" w:themeColor="text1"/>
          <w:rtl/>
        </w:rPr>
        <w:t>ی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 xml:space="preserve">ه؛ </w:t>
      </w:r>
      <w:r w:rsidR="003D3E42" w:rsidRPr="00106C9B">
        <w:rPr>
          <w:rFonts w:ascii="IRBadr" w:hAnsi="IRBadr" w:cs="IRBadr"/>
          <w:b/>
          <w:bCs/>
          <w:color w:val="000000" w:themeColor="text1"/>
          <w:rtl/>
        </w:rPr>
        <w:t>ج 4</w:t>
      </w:r>
      <w:r w:rsidRPr="00106C9B">
        <w:rPr>
          <w:rFonts w:ascii="IRBadr" w:hAnsi="IRBadr" w:cs="IRBadr"/>
          <w:b/>
          <w:bCs/>
          <w:color w:val="000000" w:themeColor="text1"/>
          <w:rtl/>
        </w:rPr>
        <w:t>، ص: 104</w:t>
      </w:r>
      <w:r w:rsidR="00106C9B" w:rsidRPr="00106C9B">
        <w:rPr>
          <w:rFonts w:ascii="IRBadr" w:hAnsi="IRBadr" w:cs="IRBadr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F50492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B7094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50492">
      <w:rPr>
        <w:rFonts w:ascii="IranNastaliq" w:hAnsi="IranNastaliq" w:cs="IranNastaliq" w:hint="cs"/>
        <w:sz w:val="40"/>
        <w:szCs w:val="40"/>
        <w:rtl/>
        <w:lang w:bidi="fa-IR"/>
      </w:rPr>
      <w:t>950</w:t>
    </w:r>
  </w:p>
  <w:p w:rsidR="009541DD" w:rsidRDefault="0095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076D"/>
    <w:rsid w:val="000D2D0D"/>
    <w:rsid w:val="000D5800"/>
    <w:rsid w:val="000F1897"/>
    <w:rsid w:val="000F7E72"/>
    <w:rsid w:val="00101E2D"/>
    <w:rsid w:val="00102CEB"/>
    <w:rsid w:val="00106C9B"/>
    <w:rsid w:val="001168D4"/>
    <w:rsid w:val="00117955"/>
    <w:rsid w:val="0012284F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84206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3E42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C1D5E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3CA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36B70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83733"/>
    <w:rsid w:val="00884041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55CE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0CF7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112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48C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829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2650A"/>
    <w:rsid w:val="00F40284"/>
    <w:rsid w:val="00F50492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06C9B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06C9B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0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06C9B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06C9B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0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97A0-BBDE-4717-B5E4-5EC543CF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105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64</cp:revision>
  <dcterms:created xsi:type="dcterms:W3CDTF">2014-12-20T10:23:00Z</dcterms:created>
  <dcterms:modified xsi:type="dcterms:W3CDTF">2015-08-23T07:18:00Z</dcterms:modified>
</cp:coreProperties>
</file>