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3" w:rsidRDefault="0035502A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D422CA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EF49A3" w:rsidRPr="00D422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EF49A3" w:rsidRPr="00D422CA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D422CA" w:rsidRDefault="00D422CA" w:rsidP="00D422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D422CA" w:rsidRDefault="00D422CA" w:rsidP="00D422C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59908" w:history="1">
        <w:r w:rsidRPr="00142C0D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142C0D">
          <w:rPr>
            <w:rStyle w:val="Hyperlink"/>
            <w:rFonts w:ascii="IRBadr" w:hAnsi="IRBadr" w:cs="IRBadr" w:hint="eastAsia"/>
            <w:noProof/>
            <w:rtl/>
          </w:rPr>
          <w:t>ارتداد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_Toc428359908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D422CA" w:rsidRDefault="009B013F" w:rsidP="00D422C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09" w:history="1"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گذشته</w:t>
        </w:r>
        <w:r w:rsidR="00D422CA">
          <w:rPr>
            <w:noProof/>
            <w:webHidden/>
          </w:rPr>
          <w:tab/>
        </w:r>
        <w:r w:rsidR="00D422CA">
          <w:rPr>
            <w:rStyle w:val="Hyperlink"/>
            <w:noProof/>
            <w:rtl/>
          </w:rPr>
          <w:fldChar w:fldCharType="begin"/>
        </w:r>
        <w:r w:rsidR="00D422CA">
          <w:rPr>
            <w:noProof/>
            <w:webHidden/>
          </w:rPr>
          <w:instrText xml:space="preserve"> PAGEREF _Toc428359909 \h </w:instrText>
        </w:r>
        <w:r w:rsidR="00D422CA">
          <w:rPr>
            <w:rStyle w:val="Hyperlink"/>
            <w:noProof/>
            <w:rtl/>
          </w:rPr>
        </w:r>
        <w:r w:rsidR="00D422CA">
          <w:rPr>
            <w:rStyle w:val="Hyperlink"/>
            <w:noProof/>
            <w:rtl/>
          </w:rPr>
          <w:fldChar w:fldCharType="separate"/>
        </w:r>
        <w:r w:rsidR="00D422CA">
          <w:rPr>
            <w:noProof/>
            <w:webHidden/>
          </w:rPr>
          <w:t>1</w:t>
        </w:r>
        <w:r w:rsidR="00D422CA">
          <w:rPr>
            <w:rStyle w:val="Hyperlink"/>
            <w:noProof/>
            <w:rtl/>
          </w:rPr>
          <w:fldChar w:fldCharType="end"/>
        </w:r>
      </w:hyperlink>
    </w:p>
    <w:p w:rsidR="00D422CA" w:rsidRDefault="009B013F" w:rsidP="00D422C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10" w:history="1"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D422CA" w:rsidRPr="00142C0D">
          <w:rPr>
            <w:rStyle w:val="Hyperlink"/>
            <w:rFonts w:ascii="IRBadr" w:hAnsi="IRBadr" w:cs="IRBadr" w:hint="cs"/>
            <w:noProof/>
            <w:rtl/>
          </w:rPr>
          <w:t>ی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بر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D422CA">
          <w:rPr>
            <w:noProof/>
            <w:webHidden/>
          </w:rPr>
          <w:tab/>
        </w:r>
        <w:r w:rsidR="00D422CA">
          <w:rPr>
            <w:rStyle w:val="Hyperlink"/>
            <w:noProof/>
            <w:rtl/>
          </w:rPr>
          <w:fldChar w:fldCharType="begin"/>
        </w:r>
        <w:r w:rsidR="00D422CA">
          <w:rPr>
            <w:noProof/>
            <w:webHidden/>
          </w:rPr>
          <w:instrText xml:space="preserve"> PAGEREF _Toc428359910 \h </w:instrText>
        </w:r>
        <w:r w:rsidR="00D422CA">
          <w:rPr>
            <w:rStyle w:val="Hyperlink"/>
            <w:noProof/>
            <w:rtl/>
          </w:rPr>
        </w:r>
        <w:r w:rsidR="00D422CA">
          <w:rPr>
            <w:rStyle w:val="Hyperlink"/>
            <w:noProof/>
            <w:rtl/>
          </w:rPr>
          <w:fldChar w:fldCharType="separate"/>
        </w:r>
        <w:r w:rsidR="00D422CA">
          <w:rPr>
            <w:noProof/>
            <w:webHidden/>
          </w:rPr>
          <w:t>1</w:t>
        </w:r>
        <w:r w:rsidR="00D422CA">
          <w:rPr>
            <w:rStyle w:val="Hyperlink"/>
            <w:noProof/>
            <w:rtl/>
          </w:rPr>
          <w:fldChar w:fldCharType="end"/>
        </w:r>
      </w:hyperlink>
    </w:p>
    <w:p w:rsidR="00D422CA" w:rsidRDefault="009B013F" w:rsidP="00D422C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11" w:history="1"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عناو</w:t>
        </w:r>
        <w:r w:rsidR="00D422CA" w:rsidRPr="00142C0D">
          <w:rPr>
            <w:rStyle w:val="Hyperlink"/>
            <w:rFonts w:ascii="IRBadr" w:hAnsi="IRBadr" w:cs="IRBadr" w:hint="cs"/>
            <w:noProof/>
            <w:rtl/>
          </w:rPr>
          <w:t>ی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ثانو</w:t>
        </w:r>
        <w:r w:rsidR="00D422CA" w:rsidRPr="00142C0D">
          <w:rPr>
            <w:rStyle w:val="Hyperlink"/>
            <w:rFonts w:ascii="IRBadr" w:hAnsi="IRBadr" w:cs="IRBadr" w:hint="cs"/>
            <w:noProof/>
            <w:rtl/>
          </w:rPr>
          <w:t>ی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D422CA" w:rsidRPr="00142C0D">
          <w:rPr>
            <w:rStyle w:val="Hyperlink"/>
            <w:rFonts w:ascii="IRBadr" w:hAnsi="IRBadr" w:cs="IRBadr" w:hint="cs"/>
            <w:noProof/>
            <w:rtl/>
          </w:rPr>
          <w:t>ی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D422CA">
          <w:rPr>
            <w:noProof/>
            <w:webHidden/>
          </w:rPr>
          <w:tab/>
        </w:r>
        <w:r w:rsidR="00D422CA">
          <w:rPr>
            <w:rStyle w:val="Hyperlink"/>
            <w:noProof/>
            <w:rtl/>
          </w:rPr>
          <w:fldChar w:fldCharType="begin"/>
        </w:r>
        <w:r w:rsidR="00D422CA">
          <w:rPr>
            <w:noProof/>
            <w:webHidden/>
          </w:rPr>
          <w:instrText xml:space="preserve"> PAGEREF _Toc428359911 \h </w:instrText>
        </w:r>
        <w:r w:rsidR="00D422CA">
          <w:rPr>
            <w:rStyle w:val="Hyperlink"/>
            <w:noProof/>
            <w:rtl/>
          </w:rPr>
        </w:r>
        <w:r w:rsidR="00D422CA">
          <w:rPr>
            <w:rStyle w:val="Hyperlink"/>
            <w:noProof/>
            <w:rtl/>
          </w:rPr>
          <w:fldChar w:fldCharType="separate"/>
        </w:r>
        <w:r w:rsidR="00D422CA">
          <w:rPr>
            <w:noProof/>
            <w:webHidden/>
          </w:rPr>
          <w:t>2</w:t>
        </w:r>
        <w:r w:rsidR="00D422CA">
          <w:rPr>
            <w:rStyle w:val="Hyperlink"/>
            <w:noProof/>
            <w:rtl/>
          </w:rPr>
          <w:fldChar w:fldCharType="end"/>
        </w:r>
      </w:hyperlink>
    </w:p>
    <w:p w:rsidR="00D422CA" w:rsidRDefault="009B013F" w:rsidP="00D422C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12" w:history="1"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عدم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تمکن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اثبات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محکمه</w:t>
        </w:r>
        <w:r w:rsidR="00D422CA">
          <w:rPr>
            <w:noProof/>
            <w:webHidden/>
          </w:rPr>
          <w:tab/>
        </w:r>
        <w:r w:rsidR="00D422CA">
          <w:rPr>
            <w:rStyle w:val="Hyperlink"/>
            <w:noProof/>
            <w:rtl/>
          </w:rPr>
          <w:fldChar w:fldCharType="begin"/>
        </w:r>
        <w:r w:rsidR="00D422CA">
          <w:rPr>
            <w:noProof/>
            <w:webHidden/>
          </w:rPr>
          <w:instrText xml:space="preserve"> PAGEREF _Toc428359912 \h </w:instrText>
        </w:r>
        <w:r w:rsidR="00D422CA">
          <w:rPr>
            <w:rStyle w:val="Hyperlink"/>
            <w:noProof/>
            <w:rtl/>
          </w:rPr>
        </w:r>
        <w:r w:rsidR="00D422CA">
          <w:rPr>
            <w:rStyle w:val="Hyperlink"/>
            <w:noProof/>
            <w:rtl/>
          </w:rPr>
          <w:fldChar w:fldCharType="separate"/>
        </w:r>
        <w:r w:rsidR="00D422CA">
          <w:rPr>
            <w:noProof/>
            <w:webHidden/>
          </w:rPr>
          <w:t>2</w:t>
        </w:r>
        <w:r w:rsidR="00D422CA">
          <w:rPr>
            <w:rStyle w:val="Hyperlink"/>
            <w:noProof/>
            <w:rtl/>
          </w:rPr>
          <w:fldChar w:fldCharType="end"/>
        </w:r>
      </w:hyperlink>
    </w:p>
    <w:p w:rsidR="00D422CA" w:rsidRDefault="009B013F" w:rsidP="00D422C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9913" w:history="1"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تکرر</w:t>
        </w:r>
        <w:r w:rsidR="00D422CA" w:rsidRPr="00142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422CA" w:rsidRPr="00142C0D">
          <w:rPr>
            <w:rStyle w:val="Hyperlink"/>
            <w:rFonts w:ascii="IRBadr" w:hAnsi="IRBadr" w:cs="IRBadr" w:hint="eastAsia"/>
            <w:noProof/>
            <w:rtl/>
          </w:rPr>
          <w:t>ارتداد</w:t>
        </w:r>
        <w:r w:rsidR="00D422CA">
          <w:rPr>
            <w:noProof/>
            <w:webHidden/>
          </w:rPr>
          <w:tab/>
        </w:r>
        <w:r w:rsidR="00D422CA">
          <w:rPr>
            <w:rStyle w:val="Hyperlink"/>
            <w:noProof/>
            <w:rtl/>
          </w:rPr>
          <w:fldChar w:fldCharType="begin"/>
        </w:r>
        <w:r w:rsidR="00D422CA">
          <w:rPr>
            <w:noProof/>
            <w:webHidden/>
          </w:rPr>
          <w:instrText xml:space="preserve"> PAGEREF _Toc428359913 \h </w:instrText>
        </w:r>
        <w:r w:rsidR="00D422CA">
          <w:rPr>
            <w:rStyle w:val="Hyperlink"/>
            <w:noProof/>
            <w:rtl/>
          </w:rPr>
        </w:r>
        <w:r w:rsidR="00D422CA">
          <w:rPr>
            <w:rStyle w:val="Hyperlink"/>
            <w:noProof/>
            <w:rtl/>
          </w:rPr>
          <w:fldChar w:fldCharType="separate"/>
        </w:r>
        <w:r w:rsidR="00D422CA">
          <w:rPr>
            <w:noProof/>
            <w:webHidden/>
          </w:rPr>
          <w:t>2</w:t>
        </w:r>
        <w:r w:rsidR="00D422CA">
          <w:rPr>
            <w:rStyle w:val="Hyperlink"/>
            <w:noProof/>
            <w:rtl/>
          </w:rPr>
          <w:fldChar w:fldCharType="end"/>
        </w:r>
      </w:hyperlink>
    </w:p>
    <w:p w:rsidR="00D422CA" w:rsidRPr="00D422CA" w:rsidRDefault="00D422CA" w:rsidP="00D422CA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6652A" w:rsidRDefault="0076652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8359908"/>
      <w:r>
        <w:rPr>
          <w:rFonts w:ascii="IRBadr" w:hAnsi="IRBadr" w:cs="IRBadr"/>
          <w:rtl/>
        </w:rPr>
        <w:br w:type="page"/>
      </w:r>
    </w:p>
    <w:p w:rsidR="00EF49A3" w:rsidRPr="00D422CA" w:rsidRDefault="00EF49A3" w:rsidP="00EF49A3">
      <w:pPr>
        <w:pStyle w:val="Heading1"/>
        <w:rPr>
          <w:rFonts w:ascii="IRBadr" w:hAnsi="IRBadr" w:cs="IRBadr"/>
          <w:rtl/>
        </w:rPr>
      </w:pPr>
      <w:r w:rsidRPr="00D422CA">
        <w:rPr>
          <w:rFonts w:ascii="IRBadr" w:hAnsi="IRBadr" w:cs="IRBadr"/>
          <w:rtl/>
        </w:rPr>
        <w:lastRenderedPageBreak/>
        <w:t>حد ارتداد</w:t>
      </w:r>
      <w:bookmarkEnd w:id="1"/>
    </w:p>
    <w:p w:rsidR="00EF49A3" w:rsidRPr="00D422CA" w:rsidRDefault="00EF49A3" w:rsidP="00EF49A3">
      <w:pPr>
        <w:pStyle w:val="Heading1"/>
        <w:rPr>
          <w:rFonts w:ascii="IRBadr" w:hAnsi="IRBadr" w:cs="IRBadr"/>
          <w:rtl/>
        </w:rPr>
      </w:pPr>
      <w:bookmarkStart w:id="2" w:name="_Toc428359909"/>
      <w:r w:rsidRPr="00D422CA">
        <w:rPr>
          <w:rFonts w:ascii="IRBadr" w:hAnsi="IRBadr" w:cs="IRBadr"/>
          <w:rtl/>
        </w:rPr>
        <w:t>مرور بحث گذشته</w:t>
      </w:r>
      <w:bookmarkEnd w:id="2"/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>در جلسه گذشته دو مقام مطرح شد که؛ اولاً حق اجرای حدود بر عهده حاکم است،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ادله‌ای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نیز که در این رابطه وجود دارد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قرار گرفت.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که به نحو مطلق چه در مقام قضاء و چه در مقام اجرا حق را از آن حاکم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می‌دانست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>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>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از ادله عقلی و ارتکازات و هم از طریق ادله لفظی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این حکم را اثبات نمود.</w:t>
      </w:r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از طرفی دیگر خطاباتی که در قبال احکام و حدود وجود دارد به نحو عام استغراقی همه مکلفین را دربر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>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گاهی از این خطابات وجوب کفایی و گاهی عینی استفاده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F49A3" w:rsidRPr="00D422CA" w:rsidRDefault="00EF49A3" w:rsidP="00EF49A3">
      <w:pPr>
        <w:pStyle w:val="Heading1"/>
        <w:rPr>
          <w:rFonts w:ascii="IRBadr" w:hAnsi="IRBadr" w:cs="IRBadr"/>
          <w:rtl/>
        </w:rPr>
      </w:pPr>
      <w:bookmarkStart w:id="3" w:name="_Toc428359910"/>
      <w:r w:rsidRPr="00D422CA">
        <w:rPr>
          <w:rFonts w:ascii="IRBadr" w:hAnsi="IRBadr" w:cs="IRBadr"/>
          <w:rtl/>
        </w:rPr>
        <w:t>مروری بر مقام دوم</w:t>
      </w:r>
      <w:bookmarkEnd w:id="3"/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اما در مقام دوم کلام از موارد استثناء شده از قاعده اولیه بود که در قبال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گفته شد؛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مواردی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مانند ارتداد از حکم لزوم اذن حاکم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خارج‌شده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نکته حائز اهمیتی که در این میان وجود دارد،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بوده که ممکن است در مواردی به اقتضای عناوین ثانوی حکم جواز قتل مرتد بدون اذن برداشته شود و از آن جمله مواقعی است که منجر به اختلال نظام شود یا مواردی که امنیت از جامعه سلب شود و افراد نتوانند در محیطی امن زندگی کنند.</w:t>
      </w:r>
    </w:p>
    <w:p w:rsidR="00EF49A3" w:rsidRPr="00D422CA" w:rsidRDefault="00EF49A3" w:rsidP="00EF49A3">
      <w:pPr>
        <w:pStyle w:val="Heading2"/>
        <w:rPr>
          <w:rFonts w:ascii="IRBadr" w:hAnsi="IRBadr" w:cs="IRBadr"/>
          <w:rtl/>
        </w:rPr>
      </w:pPr>
      <w:bookmarkStart w:id="4" w:name="_Toc428359911"/>
      <w:r w:rsidRPr="00D422CA">
        <w:rPr>
          <w:rFonts w:ascii="IRBadr" w:hAnsi="IRBadr" w:cs="IRBadr"/>
          <w:rtl/>
        </w:rPr>
        <w:t>عناوین ثانوی در این مقام</w:t>
      </w:r>
      <w:bookmarkEnd w:id="4"/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تشخیص مصالح نیز در اینجا امری صعب است که کمتر کسی غیر از فقیه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از عهده آن بیرون آید.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موارد دیگری که در این مقام منجر به عمل به عناوین ثانوی خواهد شد،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جایی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است که قتل مرتد منجر به وهن اسلام گردد.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حکم فوق مشروط به عدم تزاحم است.</w:t>
      </w:r>
    </w:p>
    <w:p w:rsidR="00EF49A3" w:rsidRPr="00D422CA" w:rsidRDefault="00EF49A3" w:rsidP="00EF49A3">
      <w:pPr>
        <w:pStyle w:val="Heading2"/>
        <w:rPr>
          <w:rFonts w:ascii="IRBadr" w:hAnsi="IRBadr" w:cs="IRBadr"/>
          <w:rtl/>
        </w:rPr>
      </w:pPr>
      <w:bookmarkStart w:id="5" w:name="_Toc428359912"/>
      <w:r w:rsidRPr="00D422CA">
        <w:rPr>
          <w:rFonts w:ascii="IRBadr" w:hAnsi="IRBadr" w:cs="IRBadr"/>
          <w:rtl/>
        </w:rPr>
        <w:lastRenderedPageBreak/>
        <w:t>عدم تمکن اثبات حکم در محکمه</w:t>
      </w:r>
      <w:bookmarkEnd w:id="5"/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در مواردی ممکن است فرد ساب النبی یا مرتد را با تشخصی خود به قتل برسد ولی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در محکمه نتواند اثبات نماید،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این صورت او مورد قصاص خواهد گرفت.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فرض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دیگری که در اینجا متعلق سؤال است،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بوده که اگر فرد نسبت به وظیفه خود مبنی بر قتل مرتد و همچنین قتل خود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مطمئن است،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جایز است این کار را انجام دهد؟</w:t>
      </w:r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>ظاهر برخی از روایات جواز این امر بوده و در قبال آن ثواب عظیمی برشمرده شده است.</w:t>
      </w:r>
    </w:p>
    <w:p w:rsidR="00EF49A3" w:rsidRPr="00D422CA" w:rsidRDefault="00EF49A3" w:rsidP="00EF49A3">
      <w:pPr>
        <w:pStyle w:val="Heading3"/>
        <w:rPr>
          <w:rFonts w:ascii="IRBadr" w:hAnsi="IRBadr" w:cs="IRBadr"/>
          <w:rtl/>
        </w:rPr>
      </w:pPr>
      <w:bookmarkStart w:id="6" w:name="_Toc428359913"/>
      <w:r w:rsidRPr="00D422CA">
        <w:rPr>
          <w:rFonts w:ascii="IRBadr" w:hAnsi="IRBadr" w:cs="IRBadr"/>
          <w:rtl/>
        </w:rPr>
        <w:t>تکرر ارتداد</w:t>
      </w:r>
      <w:bookmarkEnd w:id="6"/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>مسئله پنجم در تحریر این است که؛</w:t>
      </w:r>
    </w:p>
    <w:p w:rsidR="00EF49A3" w:rsidRPr="00D422CA" w:rsidRDefault="00EF49A3" w:rsidP="00EF49A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«مسألة 5: إذا ت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رّر الارتداد من الملّ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ل: 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قتل ف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الثالثة، و ق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ل: 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قتل ف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الرابعة، و هو أحوط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D422C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>در ابواب مقدمات حدود، باب پنجم، صفحه سیصد و سیزده روایت معتبره ای است که می‌فرماید؛</w:t>
      </w:r>
    </w:p>
    <w:p w:rsidR="00EF49A3" w:rsidRPr="00D422CA" w:rsidRDefault="00EF49A3" w:rsidP="00EF49A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«مُحَمَّدٌ عَنْ أَحْمَدَ بْنِ مُحَمَّدٍ عَنْ صَفْوَانَ عَنْ 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أَبِ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الْحَسَنِ الْمَاضِ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قَالَ: أَصْحَابُ الْ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بَائِرِ 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لِّهَا إِذَا أُقِ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عَلَ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هِمُ الْحُدُودُ مَرَّتَ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قُتِلُوا فِ</w:t>
      </w:r>
      <w:r w:rsidR="0035502A"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422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الثَّالِثَةِ.» </w:t>
      </w:r>
      <w:r w:rsidRPr="00D422C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EF49A3" w:rsidRPr="00D422CA" w:rsidRDefault="00EF49A3" w:rsidP="00EF49A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قاعده در باب حدود این است که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سوم کشته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>،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در باب زنا دلیل خاص وجود داشت که فرد 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چهارم به قتل خواهد رسید.</w:t>
      </w:r>
      <w:r w:rsidR="0035502A" w:rsidRPr="00D422C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422CA">
        <w:rPr>
          <w:rFonts w:ascii="IRBadr" w:hAnsi="IRBadr" w:cs="IRBadr"/>
          <w:sz w:val="28"/>
          <w:szCs w:val="28"/>
          <w:rtl/>
          <w:lang w:bidi="fa-IR"/>
        </w:rPr>
        <w:t xml:space="preserve"> باید دید حکم در اینجا چه خواهد بود؟</w:t>
      </w:r>
    </w:p>
    <w:p w:rsidR="00152670" w:rsidRPr="00D422CA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D422C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3F" w:rsidRDefault="009B013F" w:rsidP="000D5800">
      <w:pPr>
        <w:spacing w:after="0" w:line="240" w:lineRule="auto"/>
      </w:pPr>
      <w:r>
        <w:separator/>
      </w:r>
    </w:p>
  </w:endnote>
  <w:endnote w:type="continuationSeparator" w:id="0">
    <w:p w:rsidR="009B013F" w:rsidRDefault="009B013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3F" w:rsidRDefault="009B013F" w:rsidP="00D422CA">
      <w:pPr>
        <w:bidi/>
        <w:spacing w:after="0" w:line="240" w:lineRule="auto"/>
      </w:pPr>
      <w:r>
        <w:separator/>
      </w:r>
    </w:p>
  </w:footnote>
  <w:footnote w:type="continuationSeparator" w:id="0">
    <w:p w:rsidR="009B013F" w:rsidRDefault="009B013F" w:rsidP="000D5800">
      <w:pPr>
        <w:spacing w:after="0" w:line="240" w:lineRule="auto"/>
      </w:pPr>
      <w:r>
        <w:continuationSeparator/>
      </w:r>
    </w:p>
  </w:footnote>
  <w:footnote w:id="1">
    <w:p w:rsidR="00EF49A3" w:rsidRDefault="00EF49A3" w:rsidP="00EF49A3">
      <w:pPr>
        <w:pStyle w:val="FootnoteText"/>
        <w:rPr>
          <w:rFonts w:cstheme="minorBidi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Noor_Titr" w:hAnsi="Noor_Titr" w:cs="B Badr" w:hint="cs"/>
          <w:color w:val="000000" w:themeColor="text1"/>
          <w:rtl/>
        </w:rPr>
        <w:t>تفص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ل الشر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عة ف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ر الوس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لة - الحدود؛ ص: 709</w:t>
      </w:r>
    </w:p>
  </w:footnote>
  <w:footnote w:id="2">
    <w:p w:rsidR="00EF49A3" w:rsidRDefault="00EF49A3" w:rsidP="00EF49A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35502A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35502A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35502A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C079E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B7B69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C079E">
      <w:rPr>
        <w:rFonts w:ascii="IranNastaliq" w:hAnsi="IranNastaliq" w:cs="IranNastaliq" w:hint="cs"/>
        <w:sz w:val="40"/>
        <w:szCs w:val="40"/>
        <w:rtl/>
        <w:lang w:bidi="fa-IR"/>
      </w:rPr>
      <w:t>951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4C0E"/>
    <w:rsid w:val="002E73F9"/>
    <w:rsid w:val="002F05B9"/>
    <w:rsid w:val="00304087"/>
    <w:rsid w:val="003275F0"/>
    <w:rsid w:val="00340BA3"/>
    <w:rsid w:val="0035502A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8796E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27867"/>
    <w:rsid w:val="00734D59"/>
    <w:rsid w:val="0073609B"/>
    <w:rsid w:val="00752745"/>
    <w:rsid w:val="00766458"/>
    <w:rsid w:val="0076652A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013F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E35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079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422CA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49A3"/>
    <w:rsid w:val="00F034CE"/>
    <w:rsid w:val="00F10A0F"/>
    <w:rsid w:val="00F2105B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0A52-B2B4-47B4-994D-7545D723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61</cp:revision>
  <dcterms:created xsi:type="dcterms:W3CDTF">2014-12-20T10:23:00Z</dcterms:created>
  <dcterms:modified xsi:type="dcterms:W3CDTF">2015-08-27T06:04:00Z</dcterms:modified>
</cp:coreProperties>
</file>