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B7" w:rsidRDefault="00CE70AD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44EBD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3239B7" w:rsidRPr="00244EBD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</w:p>
    <w:p w:rsidR="00244EBD" w:rsidRDefault="00244EBD" w:rsidP="00244EB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فهرست مطالب:</w:t>
      </w:r>
    </w:p>
    <w:p w:rsidR="00244EBD" w:rsidRDefault="00244EBD" w:rsidP="00244EB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</w:instrText>
      </w:r>
      <w:r>
        <w:rPr>
          <w:rFonts w:ascii="IRBadr" w:hAnsi="IRBadr" w:cs="IRBadr"/>
          <w:sz w:val="28"/>
          <w:rtl/>
        </w:rPr>
        <w:instrText>1-4</w:instrText>
      </w:r>
      <w:r>
        <w:rPr>
          <w:rFonts w:ascii="IRBadr" w:hAnsi="IRBadr" w:cs="IRBadr"/>
          <w:sz w:val="28"/>
        </w:rPr>
        <w:instrText>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8359942" w:history="1">
        <w:r w:rsidRPr="00FC61F0">
          <w:rPr>
            <w:rStyle w:val="Hyperlink"/>
            <w:rFonts w:ascii="IRBadr" w:hAnsi="IRBadr" w:cs="IRBadr" w:hint="eastAsia"/>
            <w:noProof/>
            <w:rtl/>
          </w:rPr>
          <w:t>حد</w:t>
        </w:r>
        <w:r w:rsidRPr="00FC61F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Pr="00FC61F0">
          <w:rPr>
            <w:rStyle w:val="Hyperlink"/>
            <w:rFonts w:ascii="IRBadr" w:hAnsi="IRBadr" w:cs="IRBadr" w:hint="eastAsia"/>
            <w:noProof/>
            <w:rtl/>
          </w:rPr>
          <w:t>ارتداد</w:t>
        </w:r>
        <w:r>
          <w:rPr>
            <w:noProof/>
            <w:webHidden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</w:rPr>
          <w:instrText xml:space="preserve"> PAGEREF _Toc428359942 \h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244EBD" w:rsidRDefault="000103C9" w:rsidP="00244EB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59943" w:history="1"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تکرر</w:t>
        </w:r>
        <w:r w:rsidR="00244EBD" w:rsidRPr="00FC61F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ارتداد</w:t>
        </w:r>
        <w:r w:rsidR="00244EBD">
          <w:rPr>
            <w:noProof/>
            <w:webHidden/>
          </w:rPr>
          <w:tab/>
        </w:r>
        <w:r w:rsidR="00244EBD">
          <w:rPr>
            <w:rStyle w:val="Hyperlink"/>
            <w:noProof/>
            <w:rtl/>
          </w:rPr>
          <w:fldChar w:fldCharType="begin"/>
        </w:r>
        <w:r w:rsidR="00244EBD">
          <w:rPr>
            <w:noProof/>
            <w:webHidden/>
          </w:rPr>
          <w:instrText xml:space="preserve"> PAGEREF _Toc428359943 \h </w:instrText>
        </w:r>
        <w:r w:rsidR="00244EBD">
          <w:rPr>
            <w:rStyle w:val="Hyperlink"/>
            <w:noProof/>
            <w:rtl/>
          </w:rPr>
        </w:r>
        <w:r w:rsidR="00244EBD">
          <w:rPr>
            <w:rStyle w:val="Hyperlink"/>
            <w:noProof/>
            <w:rtl/>
          </w:rPr>
          <w:fldChar w:fldCharType="separate"/>
        </w:r>
        <w:r w:rsidR="00244EBD">
          <w:rPr>
            <w:noProof/>
            <w:webHidden/>
          </w:rPr>
          <w:t>1</w:t>
        </w:r>
        <w:r w:rsidR="00244EBD">
          <w:rPr>
            <w:rStyle w:val="Hyperlink"/>
            <w:noProof/>
            <w:rtl/>
          </w:rPr>
          <w:fldChar w:fldCharType="end"/>
        </w:r>
      </w:hyperlink>
    </w:p>
    <w:p w:rsidR="00244EBD" w:rsidRDefault="000103C9" w:rsidP="00244EBD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59944" w:history="1"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مرور</w:t>
        </w:r>
        <w:r w:rsidR="00244EBD" w:rsidRPr="00FC61F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244EBD" w:rsidRPr="00FC61F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سابق</w:t>
        </w:r>
        <w:r w:rsidR="00244EBD">
          <w:rPr>
            <w:noProof/>
            <w:webHidden/>
          </w:rPr>
          <w:tab/>
        </w:r>
        <w:r w:rsidR="00244EBD">
          <w:rPr>
            <w:rStyle w:val="Hyperlink"/>
            <w:noProof/>
            <w:rtl/>
          </w:rPr>
          <w:fldChar w:fldCharType="begin"/>
        </w:r>
        <w:r w:rsidR="00244EBD">
          <w:rPr>
            <w:noProof/>
            <w:webHidden/>
          </w:rPr>
          <w:instrText xml:space="preserve"> PAGEREF _Toc428359944 \h </w:instrText>
        </w:r>
        <w:r w:rsidR="00244EBD">
          <w:rPr>
            <w:rStyle w:val="Hyperlink"/>
            <w:noProof/>
            <w:rtl/>
          </w:rPr>
        </w:r>
        <w:r w:rsidR="00244EBD">
          <w:rPr>
            <w:rStyle w:val="Hyperlink"/>
            <w:noProof/>
            <w:rtl/>
          </w:rPr>
          <w:fldChar w:fldCharType="separate"/>
        </w:r>
        <w:r w:rsidR="00244EBD">
          <w:rPr>
            <w:noProof/>
            <w:webHidden/>
          </w:rPr>
          <w:t>1</w:t>
        </w:r>
        <w:r w:rsidR="00244EBD">
          <w:rPr>
            <w:rStyle w:val="Hyperlink"/>
            <w:noProof/>
            <w:rtl/>
          </w:rPr>
          <w:fldChar w:fldCharType="end"/>
        </w:r>
      </w:hyperlink>
    </w:p>
    <w:p w:rsidR="00244EBD" w:rsidRDefault="000103C9" w:rsidP="00244EB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59945" w:history="1"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مقام</w:t>
        </w:r>
        <w:r w:rsidR="00244EBD" w:rsidRPr="00FC61F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="00244EBD">
          <w:rPr>
            <w:noProof/>
            <w:webHidden/>
          </w:rPr>
          <w:tab/>
        </w:r>
        <w:r w:rsidR="00244EBD">
          <w:rPr>
            <w:rStyle w:val="Hyperlink"/>
            <w:noProof/>
            <w:rtl/>
          </w:rPr>
          <w:fldChar w:fldCharType="begin"/>
        </w:r>
        <w:r w:rsidR="00244EBD">
          <w:rPr>
            <w:noProof/>
            <w:webHidden/>
          </w:rPr>
          <w:instrText xml:space="preserve"> PAGEREF _Toc428359945 \h </w:instrText>
        </w:r>
        <w:r w:rsidR="00244EBD">
          <w:rPr>
            <w:rStyle w:val="Hyperlink"/>
            <w:noProof/>
            <w:rtl/>
          </w:rPr>
        </w:r>
        <w:r w:rsidR="00244EBD">
          <w:rPr>
            <w:rStyle w:val="Hyperlink"/>
            <w:noProof/>
            <w:rtl/>
          </w:rPr>
          <w:fldChar w:fldCharType="separate"/>
        </w:r>
        <w:r w:rsidR="00244EBD">
          <w:rPr>
            <w:noProof/>
            <w:webHidden/>
          </w:rPr>
          <w:t>2</w:t>
        </w:r>
        <w:r w:rsidR="00244EBD">
          <w:rPr>
            <w:rStyle w:val="Hyperlink"/>
            <w:noProof/>
            <w:rtl/>
          </w:rPr>
          <w:fldChar w:fldCharType="end"/>
        </w:r>
      </w:hyperlink>
    </w:p>
    <w:p w:rsidR="00244EBD" w:rsidRDefault="000103C9" w:rsidP="00244EB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59946" w:history="1"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مستندات</w:t>
        </w:r>
        <w:r w:rsidR="00244EBD" w:rsidRPr="00FC61F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بحث</w:t>
        </w:r>
        <w:r w:rsidR="00244EBD">
          <w:rPr>
            <w:noProof/>
            <w:webHidden/>
          </w:rPr>
          <w:tab/>
        </w:r>
        <w:r w:rsidR="00244EBD">
          <w:rPr>
            <w:rStyle w:val="Hyperlink"/>
            <w:noProof/>
            <w:rtl/>
          </w:rPr>
          <w:fldChar w:fldCharType="begin"/>
        </w:r>
        <w:r w:rsidR="00244EBD">
          <w:rPr>
            <w:noProof/>
            <w:webHidden/>
          </w:rPr>
          <w:instrText xml:space="preserve"> PAGEREF _Toc428359946 \h </w:instrText>
        </w:r>
        <w:r w:rsidR="00244EBD">
          <w:rPr>
            <w:rStyle w:val="Hyperlink"/>
            <w:noProof/>
            <w:rtl/>
          </w:rPr>
        </w:r>
        <w:r w:rsidR="00244EBD">
          <w:rPr>
            <w:rStyle w:val="Hyperlink"/>
            <w:noProof/>
            <w:rtl/>
          </w:rPr>
          <w:fldChar w:fldCharType="separate"/>
        </w:r>
        <w:r w:rsidR="00244EBD">
          <w:rPr>
            <w:noProof/>
            <w:webHidden/>
          </w:rPr>
          <w:t>2</w:t>
        </w:r>
        <w:r w:rsidR="00244EBD">
          <w:rPr>
            <w:rStyle w:val="Hyperlink"/>
            <w:noProof/>
            <w:rtl/>
          </w:rPr>
          <w:fldChar w:fldCharType="end"/>
        </w:r>
      </w:hyperlink>
    </w:p>
    <w:p w:rsidR="00244EBD" w:rsidRDefault="000103C9" w:rsidP="00244EB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59947" w:history="1"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244EBD" w:rsidRPr="00FC61F0">
          <w:rPr>
            <w:rStyle w:val="Hyperlink"/>
            <w:rFonts w:ascii="IRBadr" w:hAnsi="IRBadr" w:cs="IRBadr" w:hint="cs"/>
            <w:noProof/>
            <w:rtl/>
          </w:rPr>
          <w:t>ی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244EBD" w:rsidRPr="00FC61F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اول</w:t>
        </w:r>
        <w:r w:rsidR="00244EBD">
          <w:rPr>
            <w:noProof/>
            <w:webHidden/>
          </w:rPr>
          <w:tab/>
        </w:r>
        <w:r w:rsidR="00244EBD">
          <w:rPr>
            <w:rStyle w:val="Hyperlink"/>
            <w:noProof/>
            <w:rtl/>
          </w:rPr>
          <w:fldChar w:fldCharType="begin"/>
        </w:r>
        <w:r w:rsidR="00244EBD">
          <w:rPr>
            <w:noProof/>
            <w:webHidden/>
          </w:rPr>
          <w:instrText xml:space="preserve"> PAGEREF _Toc428359947 \h </w:instrText>
        </w:r>
        <w:r w:rsidR="00244EBD">
          <w:rPr>
            <w:rStyle w:val="Hyperlink"/>
            <w:noProof/>
            <w:rtl/>
          </w:rPr>
        </w:r>
        <w:r w:rsidR="00244EBD">
          <w:rPr>
            <w:rStyle w:val="Hyperlink"/>
            <w:noProof/>
            <w:rtl/>
          </w:rPr>
          <w:fldChar w:fldCharType="separate"/>
        </w:r>
        <w:r w:rsidR="00244EBD">
          <w:rPr>
            <w:noProof/>
            <w:webHidden/>
          </w:rPr>
          <w:t>2</w:t>
        </w:r>
        <w:r w:rsidR="00244EBD">
          <w:rPr>
            <w:rStyle w:val="Hyperlink"/>
            <w:noProof/>
            <w:rtl/>
          </w:rPr>
          <w:fldChar w:fldCharType="end"/>
        </w:r>
      </w:hyperlink>
    </w:p>
    <w:p w:rsidR="00244EBD" w:rsidRDefault="000103C9" w:rsidP="00244EB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59948" w:history="1"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بررس</w:t>
        </w:r>
        <w:r w:rsidR="00244EBD" w:rsidRPr="00FC61F0">
          <w:rPr>
            <w:rStyle w:val="Hyperlink"/>
            <w:rFonts w:ascii="IRBadr" w:hAnsi="IRBadr" w:cs="IRBadr" w:hint="cs"/>
            <w:noProof/>
            <w:rtl/>
          </w:rPr>
          <w:t>ی</w:t>
        </w:r>
        <w:r w:rsidR="00244EBD" w:rsidRPr="00FC61F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244EBD" w:rsidRPr="00FC61F0">
          <w:rPr>
            <w:rStyle w:val="Hyperlink"/>
            <w:rFonts w:ascii="IRBadr" w:hAnsi="IRBadr" w:cs="IRBadr" w:hint="cs"/>
            <w:noProof/>
            <w:rtl/>
          </w:rPr>
          <w:t>ی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244EBD">
          <w:rPr>
            <w:noProof/>
            <w:webHidden/>
          </w:rPr>
          <w:tab/>
        </w:r>
        <w:r w:rsidR="00244EBD">
          <w:rPr>
            <w:rStyle w:val="Hyperlink"/>
            <w:noProof/>
            <w:rtl/>
          </w:rPr>
          <w:fldChar w:fldCharType="begin"/>
        </w:r>
        <w:r w:rsidR="00244EBD">
          <w:rPr>
            <w:noProof/>
            <w:webHidden/>
          </w:rPr>
          <w:instrText xml:space="preserve"> PAGEREF _Toc428359948 \h </w:instrText>
        </w:r>
        <w:r w:rsidR="00244EBD">
          <w:rPr>
            <w:rStyle w:val="Hyperlink"/>
            <w:noProof/>
            <w:rtl/>
          </w:rPr>
        </w:r>
        <w:r w:rsidR="00244EBD">
          <w:rPr>
            <w:rStyle w:val="Hyperlink"/>
            <w:noProof/>
            <w:rtl/>
          </w:rPr>
          <w:fldChar w:fldCharType="separate"/>
        </w:r>
        <w:r w:rsidR="00244EBD">
          <w:rPr>
            <w:noProof/>
            <w:webHidden/>
          </w:rPr>
          <w:t>2</w:t>
        </w:r>
        <w:r w:rsidR="00244EBD">
          <w:rPr>
            <w:rStyle w:val="Hyperlink"/>
            <w:noProof/>
            <w:rtl/>
          </w:rPr>
          <w:fldChar w:fldCharType="end"/>
        </w:r>
      </w:hyperlink>
    </w:p>
    <w:p w:rsidR="00244EBD" w:rsidRDefault="000103C9" w:rsidP="00244EB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59949" w:history="1"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244EBD" w:rsidRPr="00FC61F0">
          <w:rPr>
            <w:rStyle w:val="Hyperlink"/>
            <w:rFonts w:ascii="IRBadr" w:hAnsi="IRBadr" w:cs="IRBadr" w:hint="cs"/>
            <w:noProof/>
            <w:rtl/>
          </w:rPr>
          <w:t>ی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244EBD" w:rsidRPr="00FC61F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دوم</w:t>
        </w:r>
        <w:r w:rsidR="00244EBD">
          <w:rPr>
            <w:noProof/>
            <w:webHidden/>
          </w:rPr>
          <w:tab/>
        </w:r>
        <w:r w:rsidR="00244EBD">
          <w:rPr>
            <w:rStyle w:val="Hyperlink"/>
            <w:noProof/>
            <w:rtl/>
          </w:rPr>
          <w:fldChar w:fldCharType="begin"/>
        </w:r>
        <w:r w:rsidR="00244EBD">
          <w:rPr>
            <w:noProof/>
            <w:webHidden/>
          </w:rPr>
          <w:instrText xml:space="preserve"> PAGEREF _Toc428359949 \h </w:instrText>
        </w:r>
        <w:r w:rsidR="00244EBD">
          <w:rPr>
            <w:rStyle w:val="Hyperlink"/>
            <w:noProof/>
            <w:rtl/>
          </w:rPr>
        </w:r>
        <w:r w:rsidR="00244EBD">
          <w:rPr>
            <w:rStyle w:val="Hyperlink"/>
            <w:noProof/>
            <w:rtl/>
          </w:rPr>
          <w:fldChar w:fldCharType="separate"/>
        </w:r>
        <w:r w:rsidR="00244EBD">
          <w:rPr>
            <w:noProof/>
            <w:webHidden/>
          </w:rPr>
          <w:t>3</w:t>
        </w:r>
        <w:r w:rsidR="00244EBD">
          <w:rPr>
            <w:rStyle w:val="Hyperlink"/>
            <w:noProof/>
            <w:rtl/>
          </w:rPr>
          <w:fldChar w:fldCharType="end"/>
        </w:r>
      </w:hyperlink>
    </w:p>
    <w:p w:rsidR="00244EBD" w:rsidRDefault="000103C9" w:rsidP="00244EB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59950" w:history="1"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بررس</w:t>
        </w:r>
        <w:r w:rsidR="00244EBD" w:rsidRPr="00FC61F0">
          <w:rPr>
            <w:rStyle w:val="Hyperlink"/>
            <w:rFonts w:ascii="IRBadr" w:hAnsi="IRBadr" w:cs="IRBadr" w:hint="cs"/>
            <w:noProof/>
            <w:rtl/>
          </w:rPr>
          <w:t>ی</w:t>
        </w:r>
        <w:r w:rsidR="00244EBD" w:rsidRPr="00FC61F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روا</w:t>
        </w:r>
        <w:r w:rsidR="00244EBD" w:rsidRPr="00FC61F0">
          <w:rPr>
            <w:rStyle w:val="Hyperlink"/>
            <w:rFonts w:ascii="IRBadr" w:hAnsi="IRBadr" w:cs="IRBadr" w:hint="cs"/>
            <w:noProof/>
            <w:rtl/>
          </w:rPr>
          <w:t>ی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ت</w:t>
        </w:r>
        <w:r w:rsidR="00244EBD">
          <w:rPr>
            <w:noProof/>
            <w:webHidden/>
          </w:rPr>
          <w:tab/>
        </w:r>
        <w:r w:rsidR="00244EBD">
          <w:rPr>
            <w:rStyle w:val="Hyperlink"/>
            <w:noProof/>
            <w:rtl/>
          </w:rPr>
          <w:fldChar w:fldCharType="begin"/>
        </w:r>
        <w:r w:rsidR="00244EBD">
          <w:rPr>
            <w:noProof/>
            <w:webHidden/>
          </w:rPr>
          <w:instrText xml:space="preserve"> PAGEREF _Toc428359950 \h </w:instrText>
        </w:r>
        <w:r w:rsidR="00244EBD">
          <w:rPr>
            <w:rStyle w:val="Hyperlink"/>
            <w:noProof/>
            <w:rtl/>
          </w:rPr>
        </w:r>
        <w:r w:rsidR="00244EBD">
          <w:rPr>
            <w:rStyle w:val="Hyperlink"/>
            <w:noProof/>
            <w:rtl/>
          </w:rPr>
          <w:fldChar w:fldCharType="separate"/>
        </w:r>
        <w:r w:rsidR="00244EBD">
          <w:rPr>
            <w:noProof/>
            <w:webHidden/>
          </w:rPr>
          <w:t>3</w:t>
        </w:r>
        <w:r w:rsidR="00244EBD">
          <w:rPr>
            <w:rStyle w:val="Hyperlink"/>
            <w:noProof/>
            <w:rtl/>
          </w:rPr>
          <w:fldChar w:fldCharType="end"/>
        </w:r>
      </w:hyperlink>
    </w:p>
    <w:p w:rsidR="00244EBD" w:rsidRDefault="000103C9" w:rsidP="00244EB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59951" w:history="1"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دل</w:t>
        </w:r>
        <w:r w:rsidR="00244EBD" w:rsidRPr="00FC61F0">
          <w:rPr>
            <w:rStyle w:val="Hyperlink"/>
            <w:rFonts w:ascii="IRBadr" w:hAnsi="IRBadr" w:cs="IRBadr" w:hint="cs"/>
            <w:noProof/>
            <w:rtl/>
          </w:rPr>
          <w:t>ی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ل</w:t>
        </w:r>
        <w:r w:rsidR="00244EBD" w:rsidRPr="00FC61F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سوم</w:t>
        </w:r>
        <w:r w:rsidR="00244EBD">
          <w:rPr>
            <w:noProof/>
            <w:webHidden/>
          </w:rPr>
          <w:tab/>
        </w:r>
        <w:r w:rsidR="00244EBD">
          <w:rPr>
            <w:rStyle w:val="Hyperlink"/>
            <w:noProof/>
            <w:rtl/>
          </w:rPr>
          <w:fldChar w:fldCharType="begin"/>
        </w:r>
        <w:r w:rsidR="00244EBD">
          <w:rPr>
            <w:noProof/>
            <w:webHidden/>
          </w:rPr>
          <w:instrText xml:space="preserve"> PAGEREF _Toc428359951 \h </w:instrText>
        </w:r>
        <w:r w:rsidR="00244EBD">
          <w:rPr>
            <w:rStyle w:val="Hyperlink"/>
            <w:noProof/>
            <w:rtl/>
          </w:rPr>
        </w:r>
        <w:r w:rsidR="00244EBD">
          <w:rPr>
            <w:rStyle w:val="Hyperlink"/>
            <w:noProof/>
            <w:rtl/>
          </w:rPr>
          <w:fldChar w:fldCharType="separate"/>
        </w:r>
        <w:r w:rsidR="00244EBD">
          <w:rPr>
            <w:noProof/>
            <w:webHidden/>
          </w:rPr>
          <w:t>4</w:t>
        </w:r>
        <w:r w:rsidR="00244EBD">
          <w:rPr>
            <w:rStyle w:val="Hyperlink"/>
            <w:noProof/>
            <w:rtl/>
          </w:rPr>
          <w:fldChar w:fldCharType="end"/>
        </w:r>
      </w:hyperlink>
    </w:p>
    <w:p w:rsidR="00244EBD" w:rsidRDefault="000103C9" w:rsidP="00244EBD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28359952" w:history="1"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جمع‌بند</w:t>
        </w:r>
        <w:r w:rsidR="00244EBD" w:rsidRPr="00FC61F0">
          <w:rPr>
            <w:rStyle w:val="Hyperlink"/>
            <w:rFonts w:ascii="IRBadr" w:hAnsi="IRBadr" w:cs="IRBadr" w:hint="cs"/>
            <w:noProof/>
            <w:rtl/>
          </w:rPr>
          <w:t>ی</w:t>
        </w:r>
        <w:r w:rsidR="00244EBD">
          <w:rPr>
            <w:noProof/>
            <w:webHidden/>
          </w:rPr>
          <w:tab/>
        </w:r>
        <w:r w:rsidR="00244EBD">
          <w:rPr>
            <w:rStyle w:val="Hyperlink"/>
            <w:noProof/>
            <w:rtl/>
          </w:rPr>
          <w:fldChar w:fldCharType="begin"/>
        </w:r>
        <w:r w:rsidR="00244EBD">
          <w:rPr>
            <w:noProof/>
            <w:webHidden/>
          </w:rPr>
          <w:instrText xml:space="preserve"> PAGEREF _Toc428359952 \h </w:instrText>
        </w:r>
        <w:r w:rsidR="00244EBD">
          <w:rPr>
            <w:rStyle w:val="Hyperlink"/>
            <w:noProof/>
            <w:rtl/>
          </w:rPr>
        </w:r>
        <w:r w:rsidR="00244EBD">
          <w:rPr>
            <w:rStyle w:val="Hyperlink"/>
            <w:noProof/>
            <w:rtl/>
          </w:rPr>
          <w:fldChar w:fldCharType="separate"/>
        </w:r>
        <w:r w:rsidR="00244EBD">
          <w:rPr>
            <w:noProof/>
            <w:webHidden/>
          </w:rPr>
          <w:t>4</w:t>
        </w:r>
        <w:r w:rsidR="00244EBD">
          <w:rPr>
            <w:rStyle w:val="Hyperlink"/>
            <w:noProof/>
            <w:rtl/>
          </w:rPr>
          <w:fldChar w:fldCharType="end"/>
        </w:r>
      </w:hyperlink>
    </w:p>
    <w:p w:rsidR="00244EBD" w:rsidRDefault="000103C9" w:rsidP="00244EBD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59953" w:history="1"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جنون</w:t>
        </w:r>
        <w:r w:rsidR="00244EBD" w:rsidRPr="00FC61F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بعد</w:t>
        </w:r>
        <w:r w:rsidR="00244EBD" w:rsidRPr="00FC61F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از</w:t>
        </w:r>
        <w:r w:rsidR="00244EBD" w:rsidRPr="00FC61F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ارتداد</w:t>
        </w:r>
        <w:r w:rsidR="00244EBD">
          <w:rPr>
            <w:noProof/>
            <w:webHidden/>
          </w:rPr>
          <w:tab/>
        </w:r>
        <w:r w:rsidR="00244EBD">
          <w:rPr>
            <w:rStyle w:val="Hyperlink"/>
            <w:noProof/>
            <w:rtl/>
          </w:rPr>
          <w:fldChar w:fldCharType="begin"/>
        </w:r>
        <w:r w:rsidR="00244EBD">
          <w:rPr>
            <w:noProof/>
            <w:webHidden/>
          </w:rPr>
          <w:instrText xml:space="preserve"> PAGEREF _Toc428359953 \h </w:instrText>
        </w:r>
        <w:r w:rsidR="00244EBD">
          <w:rPr>
            <w:rStyle w:val="Hyperlink"/>
            <w:noProof/>
            <w:rtl/>
          </w:rPr>
        </w:r>
        <w:r w:rsidR="00244EBD">
          <w:rPr>
            <w:rStyle w:val="Hyperlink"/>
            <w:noProof/>
            <w:rtl/>
          </w:rPr>
          <w:fldChar w:fldCharType="separate"/>
        </w:r>
        <w:r w:rsidR="00244EBD">
          <w:rPr>
            <w:noProof/>
            <w:webHidden/>
          </w:rPr>
          <w:t>4</w:t>
        </w:r>
        <w:r w:rsidR="00244EBD">
          <w:rPr>
            <w:rStyle w:val="Hyperlink"/>
            <w:noProof/>
            <w:rtl/>
          </w:rPr>
          <w:fldChar w:fldCharType="end"/>
        </w:r>
      </w:hyperlink>
    </w:p>
    <w:p w:rsidR="00244EBD" w:rsidRDefault="000103C9" w:rsidP="00244EBD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59954" w:history="1"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قتل</w:t>
        </w:r>
        <w:r w:rsidR="00244EBD" w:rsidRPr="00FC61F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مرتد</w:t>
        </w:r>
        <w:r w:rsidR="00244EBD" w:rsidRPr="00FC61F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پس</w:t>
        </w:r>
        <w:r w:rsidR="00244EBD" w:rsidRPr="00FC61F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از</w:t>
        </w:r>
        <w:r w:rsidR="00244EBD" w:rsidRPr="00FC61F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توبه</w:t>
        </w:r>
        <w:r w:rsidR="00244EBD">
          <w:rPr>
            <w:noProof/>
            <w:webHidden/>
          </w:rPr>
          <w:tab/>
        </w:r>
        <w:r w:rsidR="00244EBD">
          <w:rPr>
            <w:rStyle w:val="Hyperlink"/>
            <w:noProof/>
            <w:rtl/>
          </w:rPr>
          <w:fldChar w:fldCharType="begin"/>
        </w:r>
        <w:r w:rsidR="00244EBD">
          <w:rPr>
            <w:noProof/>
            <w:webHidden/>
          </w:rPr>
          <w:instrText xml:space="preserve"> PAGEREF _Toc428359954 \h </w:instrText>
        </w:r>
        <w:r w:rsidR="00244EBD">
          <w:rPr>
            <w:rStyle w:val="Hyperlink"/>
            <w:noProof/>
            <w:rtl/>
          </w:rPr>
        </w:r>
        <w:r w:rsidR="00244EBD">
          <w:rPr>
            <w:rStyle w:val="Hyperlink"/>
            <w:noProof/>
            <w:rtl/>
          </w:rPr>
          <w:fldChar w:fldCharType="separate"/>
        </w:r>
        <w:r w:rsidR="00244EBD">
          <w:rPr>
            <w:noProof/>
            <w:webHidden/>
          </w:rPr>
          <w:t>4</w:t>
        </w:r>
        <w:r w:rsidR="00244EBD">
          <w:rPr>
            <w:rStyle w:val="Hyperlink"/>
            <w:noProof/>
            <w:rtl/>
          </w:rPr>
          <w:fldChar w:fldCharType="end"/>
        </w:r>
      </w:hyperlink>
    </w:p>
    <w:p w:rsidR="00244EBD" w:rsidRDefault="000103C9" w:rsidP="00244EBD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28359955" w:history="1"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اتخاذ</w:t>
        </w:r>
        <w:r w:rsidR="00244EBD" w:rsidRPr="00FC61F0">
          <w:rPr>
            <w:rStyle w:val="Hyperlink"/>
            <w:rFonts w:ascii="IRBadr" w:hAnsi="IRBadr" w:cs="IRBadr"/>
            <w:noProof/>
            <w:rtl/>
          </w:rPr>
          <w:t xml:space="preserve"> </w:t>
        </w:r>
        <w:r w:rsidR="00244EBD" w:rsidRPr="00FC61F0">
          <w:rPr>
            <w:rStyle w:val="Hyperlink"/>
            <w:rFonts w:ascii="IRBadr" w:hAnsi="IRBadr" w:cs="IRBadr" w:hint="eastAsia"/>
            <w:noProof/>
            <w:rtl/>
          </w:rPr>
          <w:t>مبنا</w:t>
        </w:r>
        <w:r w:rsidR="00244EBD">
          <w:rPr>
            <w:noProof/>
            <w:webHidden/>
          </w:rPr>
          <w:tab/>
        </w:r>
        <w:r w:rsidR="00244EBD">
          <w:rPr>
            <w:rStyle w:val="Hyperlink"/>
            <w:noProof/>
            <w:rtl/>
          </w:rPr>
          <w:fldChar w:fldCharType="begin"/>
        </w:r>
        <w:r w:rsidR="00244EBD">
          <w:rPr>
            <w:noProof/>
            <w:webHidden/>
          </w:rPr>
          <w:instrText xml:space="preserve"> PAGEREF _Toc428359955 \h </w:instrText>
        </w:r>
        <w:r w:rsidR="00244EBD">
          <w:rPr>
            <w:rStyle w:val="Hyperlink"/>
            <w:noProof/>
            <w:rtl/>
          </w:rPr>
        </w:r>
        <w:r w:rsidR="00244EBD">
          <w:rPr>
            <w:rStyle w:val="Hyperlink"/>
            <w:noProof/>
            <w:rtl/>
          </w:rPr>
          <w:fldChar w:fldCharType="separate"/>
        </w:r>
        <w:r w:rsidR="00244EBD">
          <w:rPr>
            <w:noProof/>
            <w:webHidden/>
          </w:rPr>
          <w:t>5</w:t>
        </w:r>
        <w:r w:rsidR="00244EBD">
          <w:rPr>
            <w:rStyle w:val="Hyperlink"/>
            <w:noProof/>
            <w:rtl/>
          </w:rPr>
          <w:fldChar w:fldCharType="end"/>
        </w:r>
      </w:hyperlink>
    </w:p>
    <w:p w:rsidR="00244EBD" w:rsidRPr="00244EBD" w:rsidRDefault="00244EBD" w:rsidP="00244EBD">
      <w:pPr>
        <w:bidi/>
        <w:jc w:val="both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3239B7" w:rsidRPr="00244EBD" w:rsidRDefault="003239B7" w:rsidP="003239B7">
      <w:pPr>
        <w:pStyle w:val="Heading1"/>
        <w:rPr>
          <w:rFonts w:ascii="IRBadr" w:hAnsi="IRBadr" w:cs="IRBadr"/>
          <w:rtl/>
        </w:rPr>
      </w:pPr>
      <w:bookmarkStart w:id="0" w:name="_Toc428359942"/>
      <w:r w:rsidRPr="00244EBD">
        <w:rPr>
          <w:rFonts w:ascii="IRBadr" w:hAnsi="IRBadr" w:cs="IRBadr"/>
          <w:rtl/>
        </w:rPr>
        <w:lastRenderedPageBreak/>
        <w:t>حد ارتداد</w:t>
      </w:r>
      <w:bookmarkEnd w:id="0"/>
    </w:p>
    <w:p w:rsidR="003239B7" w:rsidRPr="00244EBD" w:rsidRDefault="003239B7" w:rsidP="003239B7">
      <w:pPr>
        <w:pStyle w:val="Heading1"/>
        <w:rPr>
          <w:rFonts w:ascii="IRBadr" w:hAnsi="IRBadr" w:cs="IRBadr"/>
          <w:rtl/>
        </w:rPr>
      </w:pPr>
      <w:bookmarkStart w:id="1" w:name="_Toc428359943"/>
      <w:r w:rsidRPr="00244EBD">
        <w:rPr>
          <w:rFonts w:ascii="IRBadr" w:hAnsi="IRBadr" w:cs="IRBadr"/>
          <w:rtl/>
        </w:rPr>
        <w:t>تکرر ارتداد</w:t>
      </w:r>
      <w:bookmarkEnd w:id="1"/>
    </w:p>
    <w:p w:rsidR="003239B7" w:rsidRPr="00244EBD" w:rsidRDefault="003239B7" w:rsidP="003239B7">
      <w:pPr>
        <w:pStyle w:val="Heading1"/>
        <w:rPr>
          <w:rFonts w:ascii="IRBadr" w:hAnsi="IRBadr" w:cs="IRBadr"/>
          <w:rtl/>
        </w:rPr>
      </w:pPr>
      <w:bookmarkStart w:id="2" w:name="_Toc428359944"/>
      <w:r w:rsidRPr="00244EBD">
        <w:rPr>
          <w:rFonts w:ascii="IRBadr" w:hAnsi="IRBadr" w:cs="IRBadr"/>
          <w:rtl/>
        </w:rPr>
        <w:t>مرور بحث سابق</w:t>
      </w:r>
      <w:bookmarkEnd w:id="2"/>
    </w:p>
    <w:p w:rsidR="003239B7" w:rsidRPr="00244EBD" w:rsidRDefault="003239B7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44EBD">
        <w:rPr>
          <w:rFonts w:ascii="IRBadr" w:hAnsi="IRBadr" w:cs="IRBadr"/>
          <w:sz w:val="28"/>
          <w:szCs w:val="28"/>
          <w:rtl/>
          <w:lang w:bidi="fa-IR"/>
        </w:rPr>
        <w:t>آخرین بحث از جلسه سابق به تکرر ارتداد اختصاص یافت،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این قبال گفته شد که در صورت تکرر دو قول وجود دارد،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یک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قول قائل به قتل در مرتبه ثالثه است بدون اینکه استتابه ای صورت گیرد و قول دیگر که درباره آن ادعای اجماع شده است،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معتقد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است که در مرتبه چهارم کشته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239B7" w:rsidRPr="00244EBD" w:rsidRDefault="003239B7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اما ما عقیده داشتیم تا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مادامی‌که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توبه وجود دارد ولو اینکه فرد تا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صدبار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نیز ارتداد پیدا کند باز حکم او قتل نخواهد بود.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علت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آن نیز حدیثی است که در جلسه سابق بیان شد که موارد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در روایات برای قتل مرتد شامل این مقام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239B7" w:rsidRPr="00244EBD" w:rsidRDefault="003239B7" w:rsidP="003239B7">
      <w:pPr>
        <w:pStyle w:val="Heading2"/>
        <w:rPr>
          <w:rFonts w:ascii="IRBadr" w:hAnsi="IRBadr" w:cs="IRBadr"/>
          <w:rtl/>
        </w:rPr>
      </w:pPr>
      <w:bookmarkStart w:id="3" w:name="_Toc428359945"/>
      <w:r w:rsidRPr="00244EBD">
        <w:rPr>
          <w:rFonts w:ascii="IRBadr" w:hAnsi="IRBadr" w:cs="IRBadr"/>
          <w:rtl/>
        </w:rPr>
        <w:t>مقام دوم</w:t>
      </w:r>
      <w:bookmarkEnd w:id="3"/>
    </w:p>
    <w:p w:rsidR="003239B7" w:rsidRPr="00244EBD" w:rsidRDefault="003239B7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اما مقام دوم در رابطه با این است که آیا در این مقام دلیل خاصی وجود دارد؟ در اینجا به دو روایت تمسک شده است جهت اینکه تا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مادامی‌که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توبه است،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قتلی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در کار نخواهد بود.</w:t>
      </w:r>
    </w:p>
    <w:p w:rsidR="003239B7" w:rsidRPr="00244EBD" w:rsidRDefault="003239B7" w:rsidP="003239B7">
      <w:pPr>
        <w:pStyle w:val="Heading2"/>
        <w:rPr>
          <w:rFonts w:ascii="IRBadr" w:hAnsi="IRBadr" w:cs="IRBadr"/>
          <w:rtl/>
        </w:rPr>
      </w:pPr>
      <w:bookmarkStart w:id="4" w:name="_Toc428359946"/>
      <w:r w:rsidRPr="00244EBD">
        <w:rPr>
          <w:rFonts w:ascii="IRBadr" w:hAnsi="IRBadr" w:cs="IRBadr"/>
          <w:rtl/>
        </w:rPr>
        <w:t>مستندات بحث</w:t>
      </w:r>
      <w:bookmarkEnd w:id="4"/>
    </w:p>
    <w:p w:rsidR="003239B7" w:rsidRPr="00244EBD" w:rsidRDefault="003239B7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44EBD">
        <w:rPr>
          <w:rFonts w:ascii="IRBadr" w:hAnsi="IRBadr" w:cs="IRBadr"/>
          <w:sz w:val="28"/>
          <w:szCs w:val="28"/>
          <w:rtl/>
          <w:lang w:bidi="fa-IR"/>
        </w:rPr>
        <w:t>این روایات در تهذیب،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جلد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ده، صفحه صد و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سی‌وهفت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ذکرشده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3239B7" w:rsidRPr="00244EBD" w:rsidRDefault="003239B7" w:rsidP="003239B7">
      <w:pPr>
        <w:pStyle w:val="Heading2"/>
        <w:rPr>
          <w:rFonts w:ascii="IRBadr" w:hAnsi="IRBadr" w:cs="IRBadr"/>
          <w:rtl/>
        </w:rPr>
      </w:pPr>
      <w:bookmarkStart w:id="5" w:name="_Toc428359947"/>
      <w:r w:rsidRPr="00244EBD">
        <w:rPr>
          <w:rFonts w:ascii="IRBadr" w:hAnsi="IRBadr" w:cs="IRBadr"/>
          <w:rtl/>
        </w:rPr>
        <w:t>روایت اول</w:t>
      </w:r>
      <w:bookmarkEnd w:id="5"/>
    </w:p>
    <w:p w:rsidR="003239B7" w:rsidRPr="00244EBD" w:rsidRDefault="003239B7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44EBD">
        <w:rPr>
          <w:rFonts w:ascii="IRBadr" w:hAnsi="IRBadr" w:cs="IRBadr"/>
          <w:sz w:val="28"/>
          <w:szCs w:val="28"/>
          <w:rtl/>
          <w:lang w:bidi="fa-IR"/>
        </w:rPr>
        <w:t>این روایت به دلیل علی بن حدید که توثیقش ثابت نیست از سند تامی برخوردار نیست؛</w:t>
      </w:r>
    </w:p>
    <w:p w:rsidR="003239B7" w:rsidRPr="00244EBD" w:rsidRDefault="003239B7" w:rsidP="003239B7">
      <w:pPr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</w:pP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  <w:lang w:bidi="fa-IR"/>
        </w:rPr>
        <w:t>«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مُحَمَّدُ بْنُ 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حْ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أَحْمَدَ بْنِ مُحَمَّدِ بْنِ عِ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عَلِ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بْنِ حَدِ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دٍ عَنْ جَمِ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لِ بْنِ دَرَّاجٍ وَ غَ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رِهِ عَنْ أَحَدِهِمَا ع فِ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رَجُلٍ رَجَعَ عَنِ الْإِسْلَامِ قَالَ 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سْتَتَابُ فَإِنْ تَابَ وَ إِلَّا قُتِلَ قِ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لَ لِجَمِ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لٍ فَمَا تَقُولُ إِنْ تَابَ ثُمَّ رَجَعَ عَنِ الْإِسْلَامِ قَالَ 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سْتَتَابُ قِ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لَ فَمَا 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>تَقُولُ إِنْ تَابَ ثُمَّ رَجَعَ قَالَ لَمْ أَسْمَعْ فِ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هَذَا شَ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ئاً وَ لَ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نَّهُ عِنْدِ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بِمَنْزِلَةِ الزَّانِ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الَّذِ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قَامُ عَلَ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الْحَدُّ مَرَّتَ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نِ ثُمَّ 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قْتَلُ بَعْدَ ذَلِ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:" وَ قَالَ رَوَ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أَصْحَابُنَا": أَنَّ الزَّانِ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قْتَلُ فِ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الْمَرَّةِ الثَّالِثَةِ.»</w:t>
      </w:r>
      <w:r w:rsidRPr="00244EB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3239B7" w:rsidRPr="00244EBD" w:rsidRDefault="003239B7" w:rsidP="003239B7">
      <w:pPr>
        <w:pStyle w:val="Heading2"/>
        <w:rPr>
          <w:rFonts w:ascii="IRBadr" w:hAnsi="IRBadr" w:cs="IRBadr"/>
          <w:rtl/>
        </w:rPr>
      </w:pPr>
      <w:bookmarkStart w:id="7" w:name="_Toc428359948"/>
      <w:r w:rsidRPr="00244EBD">
        <w:rPr>
          <w:rFonts w:ascii="IRBadr" w:hAnsi="IRBadr" w:cs="IRBadr"/>
          <w:rtl/>
        </w:rPr>
        <w:t>بررسی روایت</w:t>
      </w:r>
      <w:bookmarkEnd w:id="7"/>
    </w:p>
    <w:p w:rsidR="003239B7" w:rsidRPr="00244EBD" w:rsidRDefault="003239B7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طبق این روایت اگر تا بار سوم تکرر پیدا کرد کشته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>،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روایت فوق از چند جهت دچار اشکال است؛</w:t>
      </w:r>
    </w:p>
    <w:p w:rsidR="003239B7" w:rsidRPr="00244EBD" w:rsidRDefault="003239B7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44EBD">
        <w:rPr>
          <w:rFonts w:ascii="IRBadr" w:hAnsi="IRBadr" w:cs="IRBadr"/>
          <w:sz w:val="28"/>
          <w:szCs w:val="28"/>
          <w:rtl/>
          <w:lang w:bidi="fa-IR"/>
        </w:rPr>
        <w:t>اولاً سند روایت ضعیف است،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ثانیاً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ذیل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آن‌که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شاهد کلام است،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نیست بلکه کلام جمیل بن دراج است و ثالثاً راوی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او مثل زانی است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روایات معتبره ای در قبال زانی وجود دارد که حکم او را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دربار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چهارم قرار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داده‌اند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>.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نمی‌توان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به روایت تمسک کرد.</w:t>
      </w:r>
    </w:p>
    <w:p w:rsidR="003239B7" w:rsidRPr="00244EBD" w:rsidRDefault="003239B7" w:rsidP="003239B7">
      <w:pPr>
        <w:pStyle w:val="Heading2"/>
        <w:rPr>
          <w:rFonts w:ascii="IRBadr" w:hAnsi="IRBadr" w:cs="IRBadr"/>
          <w:rtl/>
        </w:rPr>
      </w:pPr>
      <w:bookmarkStart w:id="8" w:name="_Toc428359949"/>
      <w:r w:rsidRPr="00244EBD">
        <w:rPr>
          <w:rFonts w:ascii="IRBadr" w:hAnsi="IRBadr" w:cs="IRBadr"/>
          <w:rtl/>
        </w:rPr>
        <w:t>روایت دوم</w:t>
      </w:r>
      <w:bookmarkEnd w:id="8"/>
    </w:p>
    <w:p w:rsidR="003239B7" w:rsidRPr="00244EBD" w:rsidRDefault="003239B7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روایت دیگر در باب سه از ابواب حد مرتد، حدیث چهارم یعنی حدیث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بعدازاین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حدیث، صفحه پانصد و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چهل‌وهفت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است؛</w:t>
      </w:r>
    </w:p>
    <w:p w:rsidR="003239B7" w:rsidRPr="00244EBD" w:rsidRDefault="003239B7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44EBD">
        <w:rPr>
          <w:rFonts w:ascii="IRBadr" w:hAnsi="IRBadr" w:cs="IRBadr"/>
          <w:sz w:val="28"/>
          <w:szCs w:val="28"/>
          <w:rtl/>
          <w:lang w:bidi="fa-IR"/>
        </w:rPr>
        <w:t>ظاهراً محمد بن سالم توثیقی ندارد؛</w:t>
      </w:r>
    </w:p>
    <w:p w:rsidR="003239B7" w:rsidRPr="00244EBD" w:rsidRDefault="003239B7" w:rsidP="003239B7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«أَبُو عَلِ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الْأَشْعَرِ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عَنْ مُحَمَّدِ بْنِ سَالِمٍ عَنْ أَحْمَدَ بْنِ النَّضْرِ عَنْ عَمْرِو بْنِ شِمْرٍ عَنْ جَابِرٍ عَنْ أَبِ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عَبْدِ اللَّهِ ع قَالَ: أُتِ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أَمِ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رُ الْمُؤْمِنِ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 ص بِرَجُلٍ مِنْ بَنِ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ثَعْلَبَةَ قَدْ تَنَصَّرَ بَعْدَ إِسْلَامِهِ فَشَهِدُوا عَلَ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هِ فَقَالَ لَهُ أَمِ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رُ الْمُؤْمِنِ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نَ ع مَا 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قُولُ هَؤُلَاءِ الشُّهُودُ قَالَ صَدَقُوا وَ أَنَا أَرْجِعُ إِلَ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الْإِسْلَامِ فَقَالَ أَمَا إِنَّ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لَوْ 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ذَّبْتَ الشُّهُودَ لَضَرَبْتُ عُنُقَ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قَدْ قَبِلْتُ مِنْ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وَ لَا تَعُدْ فَإِنَّ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إِنْ رَجَعْتَ لَمْ أَقْبَلْ مِنْ</w:t>
      </w:r>
      <w:r w:rsidR="00CE70AD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رُجُوعاً بَعْدَهُ.»</w:t>
      </w:r>
      <w:r w:rsidRPr="00244EB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2"/>
      </w:r>
    </w:p>
    <w:p w:rsidR="003239B7" w:rsidRPr="00244EBD" w:rsidRDefault="003239B7" w:rsidP="003239B7">
      <w:pPr>
        <w:pStyle w:val="Heading2"/>
        <w:rPr>
          <w:rFonts w:ascii="IRBadr" w:hAnsi="IRBadr" w:cs="IRBadr"/>
          <w:rtl/>
        </w:rPr>
      </w:pPr>
      <w:bookmarkStart w:id="9" w:name="_Toc428359950"/>
      <w:r w:rsidRPr="00244EBD">
        <w:rPr>
          <w:rFonts w:ascii="IRBadr" w:hAnsi="IRBadr" w:cs="IRBadr"/>
          <w:rtl/>
        </w:rPr>
        <w:t>بررسی روایت</w:t>
      </w:r>
      <w:bookmarkEnd w:id="9"/>
    </w:p>
    <w:p w:rsidR="003239B7" w:rsidRPr="00244EBD" w:rsidRDefault="003239B7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اما اشکال دیگری که به این روایت غیر از ناحیه سندی وارد است،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درزمینهٔ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دلالت است چراکه؛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دلالت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بر قتل در مرتبه دوم.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اشکال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دیگری که از طرف آقای فاضل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واردشده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>،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است که در روایت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به‌جای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اینکه حضرت بفرماید اگر توبه نمی‌کردی تو را می‌کشتم، می‌فرماید اگر آن‌ها را تکذیب می‌کردی تو را می‌کشتم.</w:t>
      </w:r>
    </w:p>
    <w:p w:rsidR="003239B7" w:rsidRPr="00244EBD" w:rsidRDefault="003239B7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44EBD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منتها اینکه امام بحث تکذیب شهود را مطرح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کنایه است از عدم توبه است. و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که حائز اهمیت است این بوده که استتابه تنها نقش طریقی دارد،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اگر خود فرد نیز به محضر امام رفت و توبه نمود کفایت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>.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کلام امام که اگر رجوع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می‌کردی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>،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پس‌ازآن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رجوعی را از تو قبول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نمی‌کنم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>،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حمل بر بار سوم و چهارم شود،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خلاف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ظاهر است.</w:t>
      </w:r>
    </w:p>
    <w:p w:rsidR="003239B7" w:rsidRPr="00244EBD" w:rsidRDefault="003239B7" w:rsidP="003239B7">
      <w:pPr>
        <w:pStyle w:val="Heading2"/>
        <w:rPr>
          <w:rFonts w:ascii="IRBadr" w:hAnsi="IRBadr" w:cs="IRBadr"/>
          <w:rtl/>
        </w:rPr>
      </w:pPr>
      <w:bookmarkStart w:id="10" w:name="_Toc428359951"/>
      <w:r w:rsidRPr="00244EBD">
        <w:rPr>
          <w:rFonts w:ascii="IRBadr" w:hAnsi="IRBadr" w:cs="IRBadr"/>
          <w:rtl/>
        </w:rPr>
        <w:t>دلیل سوم</w:t>
      </w:r>
      <w:bookmarkEnd w:id="10"/>
    </w:p>
    <w:p w:rsidR="003239B7" w:rsidRPr="00244EBD" w:rsidRDefault="003239B7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دلیل سومی که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در اینجا ذکر کرد،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دلیل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اجماع است که در کلمات مرحوم شیخ اجماع بر بار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چهارم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ادعاشده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این اجماع قاعدتاً مدرکی است و برای ما حجیتی ندارد.</w:t>
      </w:r>
    </w:p>
    <w:p w:rsidR="003239B7" w:rsidRPr="00244EBD" w:rsidRDefault="00CE70AD" w:rsidP="003239B7">
      <w:pPr>
        <w:pStyle w:val="Heading2"/>
        <w:rPr>
          <w:rFonts w:ascii="IRBadr" w:hAnsi="IRBadr" w:cs="IRBadr"/>
          <w:rtl/>
        </w:rPr>
      </w:pPr>
      <w:bookmarkStart w:id="11" w:name="_Toc428359952"/>
      <w:r w:rsidRPr="00244EBD">
        <w:rPr>
          <w:rFonts w:ascii="IRBadr" w:hAnsi="IRBadr" w:cs="IRBadr"/>
          <w:rtl/>
        </w:rPr>
        <w:t>جمع‌بندی</w:t>
      </w:r>
      <w:bookmarkEnd w:id="11"/>
    </w:p>
    <w:p w:rsidR="003239B7" w:rsidRPr="00244EBD" w:rsidRDefault="00CE70AD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44EBD">
        <w:rPr>
          <w:rFonts w:ascii="IRBadr" w:hAnsi="IRBadr" w:cs="IRBadr"/>
          <w:sz w:val="28"/>
          <w:szCs w:val="28"/>
          <w:rtl/>
          <w:lang w:bidi="fa-IR"/>
        </w:rPr>
        <w:t>بنابراین</w:t>
      </w:r>
      <w:r w:rsidR="003239B7" w:rsidRPr="00244EBD">
        <w:rPr>
          <w:rFonts w:ascii="IRBadr" w:hAnsi="IRBadr" w:cs="IRBadr"/>
          <w:sz w:val="28"/>
          <w:szCs w:val="28"/>
          <w:rtl/>
          <w:lang w:bidi="fa-IR"/>
        </w:rPr>
        <w:t>،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ازلحاظ</w:t>
      </w:r>
      <w:r w:rsidR="003239B7" w:rsidRPr="00244EBD">
        <w:rPr>
          <w:rFonts w:ascii="IRBadr" w:hAnsi="IRBadr" w:cs="IRBadr"/>
          <w:sz w:val="28"/>
          <w:szCs w:val="28"/>
          <w:rtl/>
          <w:lang w:bidi="fa-IR"/>
        </w:rPr>
        <w:t xml:space="preserve"> قواعد عمومی دلیلی بر این 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="003239B7" w:rsidRPr="00244EBD">
        <w:rPr>
          <w:rFonts w:ascii="IRBadr" w:hAnsi="IRBadr" w:cs="IRBadr"/>
          <w:sz w:val="28"/>
          <w:szCs w:val="28"/>
          <w:rtl/>
          <w:lang w:bidi="fa-IR"/>
        </w:rPr>
        <w:t xml:space="preserve"> نیست،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="003239B7" w:rsidRPr="00244EBD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>دربار</w:t>
      </w:r>
      <w:r w:rsidR="003239B7" w:rsidRPr="00244EBD">
        <w:rPr>
          <w:rFonts w:ascii="IRBadr" w:hAnsi="IRBadr" w:cs="IRBadr"/>
          <w:sz w:val="28"/>
          <w:szCs w:val="28"/>
          <w:rtl/>
          <w:lang w:bidi="fa-IR"/>
        </w:rPr>
        <w:t xml:space="preserve"> سوم و نه 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>دربار</w:t>
      </w:r>
      <w:r w:rsidR="003239B7" w:rsidRPr="00244EBD">
        <w:rPr>
          <w:rFonts w:ascii="IRBadr" w:hAnsi="IRBadr" w:cs="IRBadr"/>
          <w:sz w:val="28"/>
          <w:szCs w:val="28"/>
          <w:rtl/>
          <w:lang w:bidi="fa-IR"/>
        </w:rPr>
        <w:t xml:space="preserve"> چهارم از حیث روایات خاصه و اجماع دلیلی بر این مطلب وجود ندارد.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بلکه</w:t>
      </w:r>
      <w:r w:rsidR="003239B7" w:rsidRPr="00244EBD">
        <w:rPr>
          <w:rFonts w:ascii="IRBadr" w:hAnsi="IRBadr" w:cs="IRBadr"/>
          <w:sz w:val="28"/>
          <w:szCs w:val="28"/>
          <w:rtl/>
          <w:lang w:bidi="fa-IR"/>
        </w:rPr>
        <w:t xml:space="preserve"> احوط در این </w:t>
      </w:r>
      <w:r w:rsidR="00EA53E8"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="003239B7" w:rsidRPr="00244EBD">
        <w:rPr>
          <w:rFonts w:ascii="IRBadr" w:hAnsi="IRBadr" w:cs="IRBadr"/>
          <w:sz w:val="28"/>
          <w:szCs w:val="28"/>
          <w:rtl/>
          <w:lang w:bidi="fa-IR"/>
        </w:rPr>
        <w:t xml:space="preserve"> بار چهارم است که در متن تحریر بدان 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>اشاره‌شده</w:t>
      </w:r>
      <w:r w:rsidR="003239B7" w:rsidRPr="00244EBD">
        <w:rPr>
          <w:rFonts w:ascii="IRBadr" w:hAnsi="IRBadr" w:cs="IRBadr"/>
          <w:sz w:val="28"/>
          <w:szCs w:val="28"/>
          <w:rtl/>
          <w:lang w:bidi="fa-IR"/>
        </w:rPr>
        <w:t xml:space="preserve"> بود.</w:t>
      </w:r>
    </w:p>
    <w:p w:rsidR="003239B7" w:rsidRPr="00244EBD" w:rsidRDefault="003239B7" w:rsidP="003239B7">
      <w:pPr>
        <w:pStyle w:val="Heading3"/>
        <w:rPr>
          <w:rFonts w:ascii="IRBadr" w:hAnsi="IRBadr" w:cs="IRBadr"/>
          <w:rtl/>
        </w:rPr>
      </w:pPr>
      <w:bookmarkStart w:id="12" w:name="_Toc428359953"/>
      <w:r w:rsidRPr="00244EBD">
        <w:rPr>
          <w:rFonts w:ascii="IRBadr" w:hAnsi="IRBadr" w:cs="IRBadr"/>
          <w:rtl/>
        </w:rPr>
        <w:t>جنون بعد از ارتداد</w:t>
      </w:r>
      <w:bookmarkEnd w:id="12"/>
    </w:p>
    <w:p w:rsidR="003239B7" w:rsidRPr="00244EBD" w:rsidRDefault="00EA53E8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مسئله</w:t>
      </w:r>
      <w:r w:rsidR="003239B7" w:rsidRPr="00244EBD">
        <w:rPr>
          <w:rFonts w:ascii="IRBadr" w:hAnsi="IRBadr" w:cs="IRBadr"/>
          <w:sz w:val="28"/>
          <w:szCs w:val="28"/>
          <w:rtl/>
          <w:lang w:bidi="fa-IR"/>
        </w:rPr>
        <w:t xml:space="preserve"> ششم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بدین‌صورت</w:t>
      </w:r>
      <w:r w:rsidR="003239B7" w:rsidRPr="00244EBD">
        <w:rPr>
          <w:rFonts w:ascii="IRBadr" w:hAnsi="IRBadr" w:cs="IRBadr"/>
          <w:sz w:val="28"/>
          <w:szCs w:val="28"/>
          <w:rtl/>
          <w:lang w:bidi="fa-IR"/>
        </w:rPr>
        <w:t xml:space="preserve"> است که؛</w:t>
      </w:r>
    </w:p>
    <w:p w:rsidR="003239B7" w:rsidRPr="00244EBD" w:rsidRDefault="00CE70AD" w:rsidP="003239B7">
      <w:pPr>
        <w:pStyle w:val="NormalWeb"/>
        <w:bidi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</w:t>
      </w:r>
      <w:r w:rsidR="003239B7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مسألة 6: لو جنّ المرتدّ الملّ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239B7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بعد ردّته و قبل استتابته لم 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239B7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قتل، و لو طرأ الجنون بعد استتابته و امتناعه المب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239B7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ح لقتله 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239B7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قتل، 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="003239B7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ما 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239B7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قتل الفطر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="003239B7"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إذا عرضه الجنون بعد ردّته</w:t>
      </w:r>
      <w:r w:rsidRPr="00244EBD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»</w:t>
      </w:r>
      <w:r w:rsidR="003239B7" w:rsidRPr="00244EBD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3"/>
      </w:r>
    </w:p>
    <w:p w:rsidR="003239B7" w:rsidRPr="00244EBD" w:rsidRDefault="003239B7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اگر مرتد ملی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پس‌ازاینکه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ارتداد پیدا کرد،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مجنون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شد،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قبال حکم او دو صورت وجود دارد؛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گاهی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جنون او قبل از توبه است و گاهی بعد از توبه، در صورت اول فرد به قتل نخواهد رسید.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حکم بر اساس قاعده است چراکه موضوع مرتد ملی طبق نظر مشهور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درجایی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است که فرد توبه نکرده باشد لذا به قتل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239B7" w:rsidRPr="00244EBD" w:rsidRDefault="003239B7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44EBD">
        <w:rPr>
          <w:rFonts w:ascii="IRBadr" w:hAnsi="IRBadr" w:cs="IRBadr"/>
          <w:sz w:val="28"/>
          <w:szCs w:val="28"/>
          <w:rtl/>
          <w:lang w:bidi="fa-IR"/>
        </w:rPr>
        <w:t>در صورت دوم نیز حکم چه در اینجا چه سایر موارد از حدود این است که حد در حال جنون جاری خواهد شد.</w:t>
      </w:r>
    </w:p>
    <w:p w:rsidR="003239B7" w:rsidRPr="00244EBD" w:rsidRDefault="003239B7" w:rsidP="003239B7">
      <w:pPr>
        <w:pStyle w:val="Heading4"/>
        <w:ind w:firstLine="0"/>
        <w:rPr>
          <w:rFonts w:ascii="IRBadr" w:hAnsi="IRBadr" w:cs="IRBadr"/>
          <w:rtl/>
        </w:rPr>
      </w:pPr>
      <w:bookmarkStart w:id="13" w:name="_Toc428359954"/>
      <w:r w:rsidRPr="00244EBD">
        <w:rPr>
          <w:rFonts w:ascii="IRBadr" w:hAnsi="IRBadr" w:cs="IRBadr"/>
          <w:rtl/>
        </w:rPr>
        <w:t>قتل مرتد پس از توبه</w:t>
      </w:r>
      <w:bookmarkEnd w:id="13"/>
    </w:p>
    <w:p w:rsidR="003239B7" w:rsidRPr="00244EBD" w:rsidRDefault="003239B7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44EBD">
        <w:rPr>
          <w:rFonts w:ascii="IRBadr" w:hAnsi="IRBadr" w:cs="IRBadr"/>
          <w:sz w:val="28"/>
          <w:szCs w:val="28"/>
          <w:rtl/>
          <w:lang w:bidi="fa-IR"/>
        </w:rPr>
        <w:lastRenderedPageBreak/>
        <w:t>این فرع در مورد این است که فردی پس از ارتداد توبه نموده ولی دیگری از آن اطلاع نداشته و او را به قتل رسانید،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این صورت دو قول وجود دارد، شیخ و ابن شهرآشوب و بعضی بزرگان فرمودند اینجا قصاص می‌شود چون مسلمانی را بدون حق کشته است؛</w:t>
      </w:r>
    </w:p>
    <w:p w:rsidR="003239B7" w:rsidRPr="00244EBD" w:rsidRDefault="003239B7" w:rsidP="003239B7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244EB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«وَ مَنْ </w:t>
      </w:r>
      <w:r w:rsidR="00CE70AD" w:rsidRPr="00244EB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244EB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قْتُلْ مُؤْمِناً مُتَعَمِّداً فَجَزاؤُهُ جَهَنَّمُ خالِداً </w:t>
      </w:r>
      <w:r w:rsidR="00CE70AD" w:rsidRPr="00244EBD">
        <w:rPr>
          <w:rFonts w:ascii="IRBadr" w:hAnsi="IRBadr" w:cs="IRBadr"/>
          <w:b/>
          <w:bCs/>
          <w:sz w:val="28"/>
          <w:szCs w:val="28"/>
          <w:rtl/>
          <w:lang w:bidi="fa-IR"/>
        </w:rPr>
        <w:t>فی‌ها</w:t>
      </w:r>
      <w:r w:rsidRPr="00244EBD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غَضِبَ اللَّهُ عَلَ</w:t>
      </w:r>
      <w:r w:rsidR="00CE70AD" w:rsidRPr="00244EB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244EBD">
        <w:rPr>
          <w:rFonts w:ascii="IRBadr" w:hAnsi="IRBadr" w:cs="IRBadr"/>
          <w:b/>
          <w:bCs/>
          <w:sz w:val="28"/>
          <w:szCs w:val="28"/>
          <w:rtl/>
          <w:lang w:bidi="fa-IR"/>
        </w:rPr>
        <w:t>هِ وَ لَعَنَهُ وَ أَعَدَّ لَهُ عَذاباً عَظِ</w:t>
      </w:r>
      <w:r w:rsidR="00CE70AD" w:rsidRPr="00244EBD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244EBD">
        <w:rPr>
          <w:rFonts w:ascii="IRBadr" w:hAnsi="IRBadr" w:cs="IRBadr"/>
          <w:b/>
          <w:bCs/>
          <w:sz w:val="28"/>
          <w:szCs w:val="28"/>
          <w:rtl/>
          <w:lang w:bidi="fa-IR"/>
        </w:rPr>
        <w:t>ماً»</w:t>
      </w:r>
      <w:r w:rsidRPr="00244EBD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</w:p>
    <w:p w:rsidR="003239B7" w:rsidRPr="00244EBD" w:rsidRDefault="003239B7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44EBD">
        <w:rPr>
          <w:rFonts w:ascii="IRBadr" w:hAnsi="IRBadr" w:cs="IRBadr"/>
          <w:sz w:val="28"/>
          <w:szCs w:val="28"/>
          <w:rtl/>
          <w:lang w:bidi="fa-IR"/>
        </w:rPr>
        <w:t>یک قول این است که اینجا جای قصاص نیست و جای دیه است.</w:t>
      </w:r>
    </w:p>
    <w:p w:rsidR="003239B7" w:rsidRPr="00244EBD" w:rsidRDefault="003239B7" w:rsidP="003239B7">
      <w:pPr>
        <w:pStyle w:val="Heading4"/>
        <w:ind w:firstLine="0"/>
        <w:rPr>
          <w:rFonts w:ascii="IRBadr" w:hAnsi="IRBadr" w:cs="IRBadr"/>
          <w:rtl/>
        </w:rPr>
      </w:pPr>
      <w:bookmarkStart w:id="14" w:name="_Toc428359955"/>
      <w:r w:rsidRPr="00244EBD">
        <w:rPr>
          <w:rFonts w:ascii="IRBadr" w:hAnsi="IRBadr" w:cs="IRBadr"/>
          <w:rtl/>
        </w:rPr>
        <w:t>اتخاذ مبنا</w:t>
      </w:r>
      <w:bookmarkEnd w:id="14"/>
    </w:p>
    <w:p w:rsidR="003239B7" w:rsidRPr="00244EBD" w:rsidRDefault="003239B7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مشهور به قول دم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معتقد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هستند و به نظر 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>،</w:t>
      </w:r>
      <w:r w:rsidR="00CE70AD" w:rsidRPr="00244EBD">
        <w:rPr>
          <w:rFonts w:ascii="IRBadr" w:hAnsi="IRBadr" w:cs="IRBadr"/>
          <w:sz w:val="28"/>
          <w:szCs w:val="28"/>
          <w:rtl/>
          <w:lang w:bidi="fa-IR"/>
        </w:rPr>
        <w:t xml:space="preserve"> اینجا</w:t>
      </w:r>
      <w:r w:rsidRPr="00244EBD">
        <w:rPr>
          <w:rFonts w:ascii="IRBadr" w:hAnsi="IRBadr" w:cs="IRBadr"/>
          <w:sz w:val="28"/>
          <w:szCs w:val="28"/>
          <w:rtl/>
          <w:lang w:bidi="fa-IR"/>
        </w:rPr>
        <w:t xml:space="preserve"> جای قصاص نیست.</w:t>
      </w:r>
    </w:p>
    <w:p w:rsidR="003239B7" w:rsidRPr="00244EBD" w:rsidRDefault="003239B7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3239B7" w:rsidRPr="00244EBD" w:rsidRDefault="003239B7" w:rsidP="003239B7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244EBD" w:rsidRDefault="00152670" w:rsidP="00734D59">
      <w:pPr>
        <w:bidi/>
        <w:rPr>
          <w:rFonts w:ascii="IRBadr" w:hAnsi="IRBadr" w:cs="IRBadr"/>
          <w:rtl/>
          <w:lang w:bidi="fa-IR"/>
        </w:rPr>
      </w:pPr>
    </w:p>
    <w:sectPr w:rsidR="00152670" w:rsidRPr="00244EBD" w:rsidSect="000D5800">
      <w:headerReference w:type="default" r:id="rId8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C9" w:rsidRDefault="000103C9" w:rsidP="000D5800">
      <w:pPr>
        <w:spacing w:after="0" w:line="240" w:lineRule="auto"/>
      </w:pPr>
      <w:r>
        <w:separator/>
      </w:r>
    </w:p>
  </w:endnote>
  <w:endnote w:type="continuationSeparator" w:id="0">
    <w:p w:rsidR="000103C9" w:rsidRDefault="000103C9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C9" w:rsidRDefault="000103C9" w:rsidP="00244EBD">
      <w:pPr>
        <w:bidi/>
        <w:spacing w:after="0" w:line="240" w:lineRule="auto"/>
      </w:pPr>
      <w:r>
        <w:separator/>
      </w:r>
    </w:p>
  </w:footnote>
  <w:footnote w:type="continuationSeparator" w:id="0">
    <w:p w:rsidR="000103C9" w:rsidRDefault="000103C9" w:rsidP="000D5800">
      <w:pPr>
        <w:spacing w:after="0" w:line="240" w:lineRule="auto"/>
      </w:pPr>
      <w:r>
        <w:continuationSeparator/>
      </w:r>
    </w:p>
  </w:footnote>
  <w:footnote w:id="1">
    <w:p w:rsidR="003239B7" w:rsidRDefault="003239B7" w:rsidP="003239B7">
      <w:pPr>
        <w:pStyle w:val="FootnoteText"/>
        <w:rPr>
          <w:rFonts w:cstheme="minorBidi"/>
          <w:rtl/>
        </w:rPr>
      </w:pPr>
      <w:bookmarkStart w:id="6" w:name="_GoBack"/>
      <w:bookmarkEnd w:id="6"/>
      <w:r>
        <w:rPr>
          <w:rStyle w:val="FootnoteReference"/>
        </w:rPr>
        <w:footnoteRef/>
      </w:r>
      <w:r>
        <w:t xml:space="preserve"> </w:t>
      </w:r>
      <w:r w:rsidR="00EA53E8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ال</w:t>
      </w:r>
      <w:r w:rsidR="00CE70AD">
        <w:rPr>
          <w:rFonts w:ascii="Noor_Titr" w:hAnsi="Noor_Titr" w:cs="B Badr" w:hint="cs"/>
          <w:color w:val="000000" w:themeColor="text1"/>
          <w:rtl/>
        </w:rPr>
        <w:t>ک</w:t>
      </w:r>
      <w:r>
        <w:rPr>
          <w:rFonts w:ascii="Noor_Titr" w:hAnsi="Noor_Titr" w:cs="B Badr" w:hint="cs"/>
          <w:color w:val="000000" w:themeColor="text1"/>
          <w:rtl/>
        </w:rPr>
        <w:t>اف</w:t>
      </w:r>
      <w:r w:rsidR="00CE70AD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CE70AD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CE70AD">
        <w:rPr>
          <w:rFonts w:ascii="Noor_Titr" w:hAnsi="Noor_Titr" w:cs="B Badr"/>
          <w:color w:val="000000" w:themeColor="text1"/>
          <w:rtl/>
        </w:rPr>
        <w:t>ج 7</w:t>
      </w:r>
      <w:r>
        <w:rPr>
          <w:rFonts w:ascii="Noor_Titr" w:hAnsi="Noor_Titr" w:cs="B Badr" w:hint="cs"/>
          <w:color w:val="000000" w:themeColor="text1"/>
          <w:rtl/>
        </w:rPr>
        <w:t>، ص: 256</w:t>
      </w:r>
      <w:r w:rsidR="00EA53E8">
        <w:rPr>
          <w:rFonts w:cstheme="minorBidi" w:hint="cs"/>
          <w:rtl/>
        </w:rPr>
        <w:t>.</w:t>
      </w:r>
    </w:p>
  </w:footnote>
  <w:footnote w:id="2">
    <w:p w:rsidR="003239B7" w:rsidRDefault="003239B7" w:rsidP="003239B7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="00EA53E8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ال</w:t>
      </w:r>
      <w:r w:rsidR="00CE70AD">
        <w:rPr>
          <w:rFonts w:ascii="Noor_Titr" w:hAnsi="Noor_Titr" w:cs="B Badr" w:hint="cs"/>
          <w:color w:val="000000" w:themeColor="text1"/>
          <w:rtl/>
        </w:rPr>
        <w:t>ک</w:t>
      </w:r>
      <w:r>
        <w:rPr>
          <w:rFonts w:ascii="Noor_Titr" w:hAnsi="Noor_Titr" w:cs="B Badr" w:hint="cs"/>
          <w:color w:val="000000" w:themeColor="text1"/>
          <w:rtl/>
        </w:rPr>
        <w:t>اف</w:t>
      </w:r>
      <w:r w:rsidR="00CE70AD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 (ط - الإسلام</w:t>
      </w:r>
      <w:r w:rsidR="00CE70AD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ة)؛ </w:t>
      </w:r>
      <w:r w:rsidR="00CE70AD">
        <w:rPr>
          <w:rFonts w:ascii="Noor_Titr" w:hAnsi="Noor_Titr" w:cs="B Badr"/>
          <w:color w:val="000000" w:themeColor="text1"/>
          <w:rtl/>
        </w:rPr>
        <w:t>ج 7</w:t>
      </w:r>
      <w:r>
        <w:rPr>
          <w:rFonts w:ascii="Noor_Titr" w:hAnsi="Noor_Titr" w:cs="B Badr" w:hint="cs"/>
          <w:color w:val="000000" w:themeColor="text1"/>
          <w:rtl/>
        </w:rPr>
        <w:t>، ص: 257</w:t>
      </w:r>
      <w:r w:rsidR="00EA53E8">
        <w:rPr>
          <w:rFonts w:hint="cs"/>
          <w:rtl/>
        </w:rPr>
        <w:t>.</w:t>
      </w:r>
    </w:p>
  </w:footnote>
  <w:footnote w:id="3">
    <w:p w:rsidR="003239B7" w:rsidRDefault="003239B7" w:rsidP="003239B7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t xml:space="preserve"> </w:t>
      </w:r>
      <w:r w:rsidR="00EA53E8">
        <w:rPr>
          <w:rFonts w:ascii="Noor_Titr" w:hAnsi="Noor_Titr" w:cs="B Badr" w:hint="cs"/>
          <w:color w:val="000000" w:themeColor="text1"/>
          <w:rtl/>
        </w:rPr>
        <w:t xml:space="preserve">- </w:t>
      </w:r>
      <w:r>
        <w:rPr>
          <w:rFonts w:ascii="Noor_Titr" w:hAnsi="Noor_Titr" w:cs="B Badr" w:hint="cs"/>
          <w:color w:val="000000" w:themeColor="text1"/>
          <w:rtl/>
        </w:rPr>
        <w:t>تفص</w:t>
      </w:r>
      <w:r w:rsidR="00CE70AD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>ل الشر</w:t>
      </w:r>
      <w:r w:rsidR="00CE70AD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>عة ف</w:t>
      </w:r>
      <w:r w:rsidR="00CE70AD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 xml:space="preserve"> شرح تحر</w:t>
      </w:r>
      <w:r w:rsidR="00CE70AD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>ر الوس</w:t>
      </w:r>
      <w:r w:rsidR="00CE70AD">
        <w:rPr>
          <w:rFonts w:ascii="Noor_Titr" w:hAnsi="Noor_Titr" w:cs="B Badr" w:hint="cs"/>
          <w:color w:val="000000" w:themeColor="text1"/>
          <w:rtl/>
        </w:rPr>
        <w:t>ی</w:t>
      </w:r>
      <w:r>
        <w:rPr>
          <w:rFonts w:ascii="Noor_Titr" w:hAnsi="Noor_Titr" w:cs="B Badr" w:hint="cs"/>
          <w:color w:val="000000" w:themeColor="text1"/>
          <w:rtl/>
        </w:rPr>
        <w:t>لة - الحدود؛ ص: 712</w:t>
      </w:r>
      <w:r w:rsidR="00EA53E8">
        <w:rPr>
          <w:rFonts w:hint="cs"/>
          <w:rtl/>
        </w:rPr>
        <w:t>.</w:t>
      </w:r>
    </w:p>
  </w:footnote>
  <w:footnote w:id="4">
    <w:p w:rsidR="003239B7" w:rsidRDefault="003239B7" w:rsidP="003239B7">
      <w:pPr>
        <w:pStyle w:val="FootnoteText"/>
        <w:rPr>
          <w:rtl/>
        </w:rPr>
      </w:pPr>
      <w:r>
        <w:rPr>
          <w:rStyle w:val="FootnoteReference"/>
        </w:rPr>
        <w:footnoteRef/>
      </w:r>
      <w:r>
        <w:t xml:space="preserve"> </w:t>
      </w:r>
      <w:r w:rsidR="00EA53E8">
        <w:rPr>
          <w:rFonts w:cs="B Badr" w:hint="cs"/>
          <w:rtl/>
        </w:rPr>
        <w:t xml:space="preserve">- </w:t>
      </w:r>
      <w:r>
        <w:rPr>
          <w:rFonts w:cs="B Badr" w:hint="cs"/>
          <w:rtl/>
        </w:rPr>
        <w:t>93/نساء</w:t>
      </w:r>
      <w:r w:rsidR="00EA53E8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1DD" w:rsidRPr="00EA53E8" w:rsidRDefault="000D5800" w:rsidP="00EA53E8">
    <w:pPr>
      <w:tabs>
        <w:tab w:val="left" w:pos="1256"/>
        <w:tab w:val="left" w:pos="5696"/>
        <w:tab w:val="right" w:pos="9071"/>
      </w:tabs>
      <w:bidi/>
      <w:rPr>
        <w:rFonts w:hint="cs"/>
        <w:b/>
        <w:bCs/>
        <w:sz w:val="32"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C814682" wp14:editId="467ACB0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293716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5" w:name="OLE_LINK1"/>
    <w:bookmarkStart w:id="16" w:name="OLE_LINK2"/>
    <w:r>
      <w:rPr>
        <w:noProof/>
        <w:lang w:bidi="fa-IR"/>
      </w:rPr>
      <w:drawing>
        <wp:inline distT="0" distB="0" distL="0" distR="0" wp14:anchorId="6FCAFE24" wp14:editId="598492E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5"/>
    <w:bookmarkEnd w:id="16"/>
    <w:r w:rsidR="00494DC0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FF1324">
      <w:rPr>
        <w:rFonts w:ascii="IranNastaliq" w:hAnsi="IranNastaliq" w:cs="IranNastaliq" w:hint="cs"/>
        <w:sz w:val="40"/>
        <w:szCs w:val="40"/>
        <w:rtl/>
        <w:lang w:bidi="fa-IR"/>
      </w:rPr>
      <w:t>952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25D"/>
    <w:rsid w:val="000103C9"/>
    <w:rsid w:val="0001193A"/>
    <w:rsid w:val="000228A2"/>
    <w:rsid w:val="000324F1"/>
    <w:rsid w:val="00041FE0"/>
    <w:rsid w:val="00052BA3"/>
    <w:rsid w:val="000626D3"/>
    <w:rsid w:val="0006363E"/>
    <w:rsid w:val="00080DFF"/>
    <w:rsid w:val="00085ED5"/>
    <w:rsid w:val="000A1A51"/>
    <w:rsid w:val="000B725D"/>
    <w:rsid w:val="000D2D0D"/>
    <w:rsid w:val="000D5800"/>
    <w:rsid w:val="000F1897"/>
    <w:rsid w:val="000F7E72"/>
    <w:rsid w:val="00101E2D"/>
    <w:rsid w:val="00102CEB"/>
    <w:rsid w:val="001168D4"/>
    <w:rsid w:val="00117955"/>
    <w:rsid w:val="00133E1D"/>
    <w:rsid w:val="0013617D"/>
    <w:rsid w:val="00136442"/>
    <w:rsid w:val="00150D4B"/>
    <w:rsid w:val="00151D55"/>
    <w:rsid w:val="00152670"/>
    <w:rsid w:val="0016576C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0636"/>
    <w:rsid w:val="001E306E"/>
    <w:rsid w:val="001E3FB0"/>
    <w:rsid w:val="001E4FFF"/>
    <w:rsid w:val="001F2E3E"/>
    <w:rsid w:val="00224C0A"/>
    <w:rsid w:val="002376A5"/>
    <w:rsid w:val="002417C9"/>
    <w:rsid w:val="00244EBD"/>
    <w:rsid w:val="002529C5"/>
    <w:rsid w:val="00266420"/>
    <w:rsid w:val="00270294"/>
    <w:rsid w:val="002914BD"/>
    <w:rsid w:val="00297263"/>
    <w:rsid w:val="002C56FD"/>
    <w:rsid w:val="002D49E4"/>
    <w:rsid w:val="002E450B"/>
    <w:rsid w:val="002E73F9"/>
    <w:rsid w:val="002F05B9"/>
    <w:rsid w:val="00304087"/>
    <w:rsid w:val="003239B7"/>
    <w:rsid w:val="003275F0"/>
    <w:rsid w:val="00340BA3"/>
    <w:rsid w:val="003656D8"/>
    <w:rsid w:val="00366400"/>
    <w:rsid w:val="0037720B"/>
    <w:rsid w:val="00377228"/>
    <w:rsid w:val="003963D7"/>
    <w:rsid w:val="00396F28"/>
    <w:rsid w:val="003A1A05"/>
    <w:rsid w:val="003A2654"/>
    <w:rsid w:val="003B4C26"/>
    <w:rsid w:val="003C06BF"/>
    <w:rsid w:val="003C26B8"/>
    <w:rsid w:val="003C7899"/>
    <w:rsid w:val="003D2F0A"/>
    <w:rsid w:val="003D563F"/>
    <w:rsid w:val="003E1E58"/>
    <w:rsid w:val="003F1AED"/>
    <w:rsid w:val="003F38D7"/>
    <w:rsid w:val="00405199"/>
    <w:rsid w:val="00410699"/>
    <w:rsid w:val="00415360"/>
    <w:rsid w:val="004203FB"/>
    <w:rsid w:val="004426D1"/>
    <w:rsid w:val="0044591E"/>
    <w:rsid w:val="004651D2"/>
    <w:rsid w:val="00465D26"/>
    <w:rsid w:val="004679F8"/>
    <w:rsid w:val="00491DB1"/>
    <w:rsid w:val="00494DC0"/>
    <w:rsid w:val="00496073"/>
    <w:rsid w:val="004B337F"/>
    <w:rsid w:val="004C1D5E"/>
    <w:rsid w:val="004F3596"/>
    <w:rsid w:val="004F56BA"/>
    <w:rsid w:val="00572E2D"/>
    <w:rsid w:val="00592103"/>
    <w:rsid w:val="005941DD"/>
    <w:rsid w:val="005A545E"/>
    <w:rsid w:val="005A5862"/>
    <w:rsid w:val="005B0852"/>
    <w:rsid w:val="005C06AE"/>
    <w:rsid w:val="005C0D0A"/>
    <w:rsid w:val="005D4C11"/>
    <w:rsid w:val="005E6299"/>
    <w:rsid w:val="005F55FA"/>
    <w:rsid w:val="00610C18"/>
    <w:rsid w:val="00612385"/>
    <w:rsid w:val="0061376C"/>
    <w:rsid w:val="00632A97"/>
    <w:rsid w:val="00636EFA"/>
    <w:rsid w:val="0066229C"/>
    <w:rsid w:val="00675B32"/>
    <w:rsid w:val="0069696C"/>
    <w:rsid w:val="006A085A"/>
    <w:rsid w:val="006D3A87"/>
    <w:rsid w:val="006F01B4"/>
    <w:rsid w:val="00727867"/>
    <w:rsid w:val="00734D59"/>
    <w:rsid w:val="0073609B"/>
    <w:rsid w:val="00752745"/>
    <w:rsid w:val="00766458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A7C17"/>
    <w:rsid w:val="007B0C3E"/>
    <w:rsid w:val="007B4648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1670E"/>
    <w:rsid w:val="008407A4"/>
    <w:rsid w:val="00844860"/>
    <w:rsid w:val="00845CC4"/>
    <w:rsid w:val="00857C21"/>
    <w:rsid w:val="008644F4"/>
    <w:rsid w:val="0087093D"/>
    <w:rsid w:val="00883733"/>
    <w:rsid w:val="00884041"/>
    <w:rsid w:val="00884A90"/>
    <w:rsid w:val="008965D2"/>
    <w:rsid w:val="008A236D"/>
    <w:rsid w:val="008B565A"/>
    <w:rsid w:val="008C3414"/>
    <w:rsid w:val="008D2F68"/>
    <w:rsid w:val="008D36D5"/>
    <w:rsid w:val="008E3903"/>
    <w:rsid w:val="008F197C"/>
    <w:rsid w:val="008F63E3"/>
    <w:rsid w:val="00913C3B"/>
    <w:rsid w:val="00915509"/>
    <w:rsid w:val="00927388"/>
    <w:rsid w:val="009274FE"/>
    <w:rsid w:val="00931FC7"/>
    <w:rsid w:val="00935E91"/>
    <w:rsid w:val="009401AC"/>
    <w:rsid w:val="009515C3"/>
    <w:rsid w:val="009541DD"/>
    <w:rsid w:val="009613AC"/>
    <w:rsid w:val="00980643"/>
    <w:rsid w:val="009921BE"/>
    <w:rsid w:val="009B46BC"/>
    <w:rsid w:val="009B61C3"/>
    <w:rsid w:val="009C7B4F"/>
    <w:rsid w:val="009F4EB3"/>
    <w:rsid w:val="009F7E77"/>
    <w:rsid w:val="00A06D48"/>
    <w:rsid w:val="00A10E6B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8F"/>
    <w:rsid w:val="00AD27BE"/>
    <w:rsid w:val="00AF0F1A"/>
    <w:rsid w:val="00AF6CE9"/>
    <w:rsid w:val="00B06A08"/>
    <w:rsid w:val="00B15027"/>
    <w:rsid w:val="00B21CF4"/>
    <w:rsid w:val="00B24300"/>
    <w:rsid w:val="00B31802"/>
    <w:rsid w:val="00B37AC9"/>
    <w:rsid w:val="00B63F15"/>
    <w:rsid w:val="00BB4D78"/>
    <w:rsid w:val="00BB5F7E"/>
    <w:rsid w:val="00BC26F6"/>
    <w:rsid w:val="00BC4833"/>
    <w:rsid w:val="00BD3122"/>
    <w:rsid w:val="00BD40DA"/>
    <w:rsid w:val="00BF3D67"/>
    <w:rsid w:val="00C01A20"/>
    <w:rsid w:val="00C12BC5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46FC"/>
    <w:rsid w:val="00CE31E6"/>
    <w:rsid w:val="00CE3B74"/>
    <w:rsid w:val="00CE70AD"/>
    <w:rsid w:val="00CF42E2"/>
    <w:rsid w:val="00CF7916"/>
    <w:rsid w:val="00D158F3"/>
    <w:rsid w:val="00D3665C"/>
    <w:rsid w:val="00D508CC"/>
    <w:rsid w:val="00D50F4B"/>
    <w:rsid w:val="00D60547"/>
    <w:rsid w:val="00D66444"/>
    <w:rsid w:val="00D7597E"/>
    <w:rsid w:val="00D76353"/>
    <w:rsid w:val="00D860ED"/>
    <w:rsid w:val="00D96DC0"/>
    <w:rsid w:val="00DB28BB"/>
    <w:rsid w:val="00DC603F"/>
    <w:rsid w:val="00DD3C0D"/>
    <w:rsid w:val="00DD4864"/>
    <w:rsid w:val="00DD71A2"/>
    <w:rsid w:val="00DE0AAF"/>
    <w:rsid w:val="00DE1DC4"/>
    <w:rsid w:val="00DE3B98"/>
    <w:rsid w:val="00DF252E"/>
    <w:rsid w:val="00E0639C"/>
    <w:rsid w:val="00E067E6"/>
    <w:rsid w:val="00E12531"/>
    <w:rsid w:val="00E143B0"/>
    <w:rsid w:val="00E438F7"/>
    <w:rsid w:val="00E55829"/>
    <w:rsid w:val="00E55891"/>
    <w:rsid w:val="00E6283A"/>
    <w:rsid w:val="00E6615B"/>
    <w:rsid w:val="00E732A3"/>
    <w:rsid w:val="00E8309A"/>
    <w:rsid w:val="00E83A85"/>
    <w:rsid w:val="00E90FC4"/>
    <w:rsid w:val="00EA01EC"/>
    <w:rsid w:val="00EA15B0"/>
    <w:rsid w:val="00EA53E8"/>
    <w:rsid w:val="00EA5D97"/>
    <w:rsid w:val="00EC4393"/>
    <w:rsid w:val="00EE1C07"/>
    <w:rsid w:val="00EE2C91"/>
    <w:rsid w:val="00EE3979"/>
    <w:rsid w:val="00EF138C"/>
    <w:rsid w:val="00F034CE"/>
    <w:rsid w:val="00F10A0F"/>
    <w:rsid w:val="00F2105B"/>
    <w:rsid w:val="00F22F27"/>
    <w:rsid w:val="00F40284"/>
    <w:rsid w:val="00F67976"/>
    <w:rsid w:val="00F70BE1"/>
    <w:rsid w:val="00F76AEB"/>
    <w:rsid w:val="00FC0862"/>
    <w:rsid w:val="00FC1B7D"/>
    <w:rsid w:val="00FC70FB"/>
    <w:rsid w:val="00FD143D"/>
    <w:rsid w:val="00FE108C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4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0B725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52E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52E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F56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44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5524-508F-4AE6-81B7-6695AF39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</Template>
  <TotalTime>103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اکبریان</cp:lastModifiedBy>
  <cp:revision>58</cp:revision>
  <dcterms:created xsi:type="dcterms:W3CDTF">2014-12-20T10:23:00Z</dcterms:created>
  <dcterms:modified xsi:type="dcterms:W3CDTF">2015-08-27T06:08:00Z</dcterms:modified>
</cp:coreProperties>
</file>