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2" w:rsidRPr="00192B74" w:rsidRDefault="00877779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A500AE" w:rsidRPr="00192B74" w:rsidRDefault="00A500AE" w:rsidP="00A500A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A500AE" w:rsidRPr="00192B74" w:rsidRDefault="00A500AE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192B74">
        <w:rPr>
          <w:rFonts w:ascii="IRBadr" w:hAnsi="IRBadr" w:cs="IRBadr"/>
          <w:sz w:val="28"/>
          <w:rtl/>
        </w:rPr>
        <w:fldChar w:fldCharType="begin"/>
      </w:r>
      <w:r w:rsidRPr="00192B74">
        <w:rPr>
          <w:rFonts w:ascii="IRBadr" w:hAnsi="IRBadr" w:cs="IRBadr"/>
          <w:sz w:val="28"/>
          <w:rtl/>
        </w:rPr>
        <w:instrText xml:space="preserve"> </w:instrText>
      </w:r>
      <w:r w:rsidRPr="00192B74">
        <w:rPr>
          <w:rFonts w:ascii="IRBadr" w:hAnsi="IRBadr" w:cs="IRBadr"/>
          <w:sz w:val="28"/>
        </w:rPr>
        <w:instrText>TOC</w:instrText>
      </w:r>
      <w:r w:rsidRPr="00192B74">
        <w:rPr>
          <w:rFonts w:ascii="IRBadr" w:hAnsi="IRBadr" w:cs="IRBadr"/>
          <w:sz w:val="28"/>
          <w:rtl/>
        </w:rPr>
        <w:instrText xml:space="preserve"> \</w:instrText>
      </w:r>
      <w:r w:rsidRPr="00192B74">
        <w:rPr>
          <w:rFonts w:ascii="IRBadr" w:hAnsi="IRBadr" w:cs="IRBadr"/>
          <w:sz w:val="28"/>
        </w:rPr>
        <w:instrText>o "</w:instrText>
      </w:r>
      <w:r w:rsidRPr="00192B74">
        <w:rPr>
          <w:rFonts w:ascii="IRBadr" w:hAnsi="IRBadr" w:cs="IRBadr"/>
          <w:sz w:val="28"/>
          <w:rtl/>
        </w:rPr>
        <w:instrText>1-4</w:instrText>
      </w:r>
      <w:r w:rsidRPr="00192B74">
        <w:rPr>
          <w:rFonts w:ascii="IRBadr" w:hAnsi="IRBadr" w:cs="IRBadr"/>
          <w:sz w:val="28"/>
        </w:rPr>
        <w:instrText>" \h \z \u</w:instrText>
      </w:r>
      <w:r w:rsidRPr="00192B74">
        <w:rPr>
          <w:rFonts w:ascii="IRBadr" w:hAnsi="IRBadr" w:cs="IRBadr"/>
          <w:sz w:val="28"/>
          <w:rtl/>
        </w:rPr>
        <w:instrText xml:space="preserve"> </w:instrText>
      </w:r>
      <w:r w:rsidRPr="00192B74">
        <w:rPr>
          <w:rFonts w:ascii="IRBadr" w:hAnsi="IRBadr" w:cs="IRBadr"/>
          <w:sz w:val="28"/>
          <w:rtl/>
        </w:rPr>
        <w:fldChar w:fldCharType="separate"/>
      </w:r>
      <w:hyperlink w:anchor="_Toc428360003" w:history="1">
        <w:r w:rsidRPr="00192B74">
          <w:rPr>
            <w:rStyle w:val="Hyperlink"/>
            <w:rFonts w:ascii="IRBadr" w:hAnsi="IRBadr" w:cs="IRBadr"/>
            <w:noProof/>
            <w:rtl/>
          </w:rPr>
          <w:t>وطی بهایم</w:t>
        </w:r>
        <w:r w:rsidRPr="00192B74">
          <w:rPr>
            <w:rFonts w:ascii="IRBadr" w:hAnsi="IRBadr" w:cs="IRBadr"/>
            <w:noProof/>
            <w:webHidden/>
          </w:rPr>
          <w:tab/>
        </w:r>
        <w:r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192B74">
          <w:rPr>
            <w:rFonts w:ascii="IRBadr" w:hAnsi="IRBadr" w:cs="IRBadr"/>
            <w:noProof/>
            <w:webHidden/>
          </w:rPr>
          <w:instrText xml:space="preserve"> PAGEREF _Toc428360003 \h </w:instrText>
        </w:r>
        <w:r w:rsidRPr="00192B74">
          <w:rPr>
            <w:rStyle w:val="Hyperlink"/>
            <w:rFonts w:ascii="IRBadr" w:hAnsi="IRBadr" w:cs="IRBadr"/>
            <w:noProof/>
            <w:rtl/>
          </w:rPr>
        </w:r>
        <w:r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192B74">
          <w:rPr>
            <w:rFonts w:ascii="IRBadr" w:hAnsi="IRBadr" w:cs="IRBadr"/>
            <w:noProof/>
            <w:webHidden/>
          </w:rPr>
          <w:t>2</w:t>
        </w:r>
        <w:r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04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_Toc428360004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2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05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روایت اول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_Toc428360005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2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06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روایت دوم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_Toc428360006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2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07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روایت سوم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_Toc428360007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3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08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_Toc428360008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3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09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طایفه دوم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_Toc428360009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3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0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طایفه سوم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_Toc428360010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4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1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طایفه چهارم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_Toc428360011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4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2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روایت اول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_Toc428360012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4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3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روایت دوم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_Toc428360013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5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4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وجوه جمع بین روایات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_Toc428360014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5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5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وجه اول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_Toc428360015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5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6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_Toc428360016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5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7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وجه دوم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_Toc428360017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5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360018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_Toc428360018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5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360019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 xml:space="preserve">نظر عامه در این </w:t>
        </w:r>
        <w:r w:rsidR="00B25EFB">
          <w:rPr>
            <w:rStyle w:val="Hyperlink"/>
            <w:rFonts w:ascii="IRBadr" w:hAnsi="IRBadr" w:cs="IRBadr"/>
            <w:noProof/>
            <w:rtl/>
          </w:rPr>
          <w:t>مسئله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_Toc428360019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6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360020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مرجحات در این مقام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_Toc428360020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6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360021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رجوع به عمومات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_Toc428360021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6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360022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اقرار نزد حاکم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_Toc428360022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6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360023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ازاله بکارت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_Toc428360023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6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360024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مستندات بحث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_Toc428360024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7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8B1878" w:rsidP="00A500AE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360025" w:history="1">
        <w:r w:rsidR="00A500AE" w:rsidRPr="00192B74">
          <w:rPr>
            <w:rStyle w:val="Hyperlink"/>
            <w:rFonts w:ascii="IRBadr" w:hAnsi="IRBadr" w:cs="IRBadr"/>
            <w:noProof/>
            <w:rtl/>
          </w:rPr>
          <w:t>بیع خمر با علم به‌حکم و موضوع</w:t>
        </w:r>
        <w:r w:rsidR="00A500AE" w:rsidRPr="00192B74">
          <w:rPr>
            <w:rFonts w:ascii="IRBadr" w:hAnsi="IRBadr" w:cs="IRBadr"/>
            <w:noProof/>
            <w:webHidden/>
          </w:rPr>
          <w:tab/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500AE" w:rsidRPr="00192B74">
          <w:rPr>
            <w:rFonts w:ascii="IRBadr" w:hAnsi="IRBadr" w:cs="IRBadr"/>
            <w:noProof/>
            <w:webHidden/>
          </w:rPr>
          <w:instrText xml:space="preserve"> PAGEREF _Toc428360025 \h </w:instrText>
        </w:r>
        <w:r w:rsidR="00A500AE" w:rsidRPr="00192B74">
          <w:rPr>
            <w:rStyle w:val="Hyperlink"/>
            <w:rFonts w:ascii="IRBadr" w:hAnsi="IRBadr" w:cs="IRBadr"/>
            <w:noProof/>
            <w:rtl/>
          </w:rPr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500AE" w:rsidRPr="00192B74">
          <w:rPr>
            <w:rFonts w:ascii="IRBadr" w:hAnsi="IRBadr" w:cs="IRBadr"/>
            <w:noProof/>
            <w:webHidden/>
          </w:rPr>
          <w:t>7</w:t>
        </w:r>
        <w:r w:rsidR="00A500AE" w:rsidRPr="00192B7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500AE" w:rsidRPr="00192B74" w:rsidRDefault="00A500AE" w:rsidP="00A500AE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92B74" w:rsidRDefault="00192B74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360003"/>
      <w:r>
        <w:rPr>
          <w:rFonts w:ascii="IRBadr" w:hAnsi="IRBadr" w:cs="IRBadr"/>
          <w:rtl/>
        </w:rPr>
        <w:br w:type="page"/>
      </w:r>
    </w:p>
    <w:p w:rsidR="00C27AC2" w:rsidRPr="00192B74" w:rsidRDefault="00C27AC2" w:rsidP="00B25EFB">
      <w:pPr>
        <w:pStyle w:val="Heading1"/>
        <w:rPr>
          <w:rFonts w:ascii="IRBadr" w:hAnsi="IRBadr" w:cs="IRBadr"/>
          <w:rtl/>
        </w:rPr>
      </w:pPr>
      <w:r w:rsidRPr="00192B74">
        <w:rPr>
          <w:rFonts w:ascii="IRBadr" w:hAnsi="IRBadr" w:cs="IRBadr"/>
          <w:rtl/>
        </w:rPr>
        <w:lastRenderedPageBreak/>
        <w:t>وطی بها</w:t>
      </w:r>
      <w:r w:rsidR="00B25EFB">
        <w:rPr>
          <w:rFonts w:ascii="IRBadr" w:hAnsi="IRBadr" w:cs="IRBadr" w:hint="cs"/>
          <w:rtl/>
        </w:rPr>
        <w:t>ئ</w:t>
      </w:r>
      <w:r w:rsidRPr="00192B74">
        <w:rPr>
          <w:rFonts w:ascii="IRBadr" w:hAnsi="IRBadr" w:cs="IRBadr"/>
          <w:rtl/>
        </w:rPr>
        <w:t>م</w:t>
      </w:r>
      <w:bookmarkEnd w:id="0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در خصوص وطی بهایم متن تحریر بدین گونه است که؛</w:t>
      </w:r>
    </w:p>
    <w:p w:rsidR="00C27AC2" w:rsidRPr="00192B74" w:rsidRDefault="00877779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وط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البه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مة تعز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 و هو منوط بنظر الح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ام و 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شترط ف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 البلوغ و العقل و الاخت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ار و عدم الشبهة مع 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امکان‌ها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، فلا تعز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 عل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... الم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ره و لا عل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المشتبه، مع ام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 الشبهة ف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حقه، ح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ما أو موضوعا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27AC2"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در خصوص وطی بهایم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نظر ایشان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این است که باید بر اساس نظر حاکم تعزیر شود،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حکم مشهور به شهرت عظیمه یا اجماعی است،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در این خصوص احتمال حد نیز وجود دارد.</w:t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2" w:name="_Toc428360004"/>
      <w:r w:rsidRPr="00192B74">
        <w:rPr>
          <w:rFonts w:ascii="IRBadr" w:hAnsi="IRBadr" w:cs="IRBadr"/>
          <w:rtl/>
        </w:rPr>
        <w:t>مستندات بحث</w:t>
      </w:r>
      <w:bookmarkEnd w:id="2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در این خصوص روایاتی در جلد هیجده، ابواب نکاح بهائم، صفحه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570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3" w:name="_Toc428360005"/>
      <w:r w:rsidRPr="00192B74">
        <w:rPr>
          <w:rFonts w:ascii="IRBadr" w:hAnsi="IRBadr" w:cs="IRBadr"/>
          <w:rtl/>
        </w:rPr>
        <w:t>روایت اول</w:t>
      </w:r>
      <w:bookmarkEnd w:id="3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این روایت،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معتبری است؛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ونُسُ عَنْ سَمَاعَةَ قَالَ: سَأَلْتُ أَبَا عَبْدِ اللَّهِ ع عَنِ الرَّجُلِ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أْتِ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مَةً شَاةً أَوْ نَاقَةً أَوْ بَقَرَةً قَالَ فَقَالَ عَلَ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أَنْ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جْلَدَ حَدّاً غَ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رَ الْحَدِّ ثُمَّ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نْفَ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 بِلَادِهِ إِلَ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غَ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رِهَا وَ ذَ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رُوا أَنَّ لَحْمَ تِلْ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مَةِ مُحَرَّمٌ وَ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ثمن‌ها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.»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4" w:name="_Toc428360006"/>
      <w:r w:rsidRPr="00192B74">
        <w:rPr>
          <w:rFonts w:ascii="IRBadr" w:hAnsi="IRBadr" w:cs="IRBadr"/>
          <w:rtl/>
        </w:rPr>
        <w:t>روایت دوم</w:t>
      </w:r>
      <w:bookmarkEnd w:id="4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این روایت به خاطر محمد بن سنان مخدوش است،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غالب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محققین و معاصرین او را توثیق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C27AC2" w:rsidRPr="00192B74" w:rsidRDefault="00877779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ونُسُ عَنْ مُحَمَّدِ بْنِ سِنَانٍ عَنِ الْعَلَاءِ بْنِ الْفُضَ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لِ عَنْ أَبِ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قَعُ عَلَ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بَهِ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مَةٍ قَالَ فَقَالَ لَ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حَدٌّ وَ لَ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تَعْزِ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C27AC2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رٌ.»</w:t>
      </w:r>
      <w:r w:rsidR="00C27AC2"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lastRenderedPageBreak/>
        <w:t>این روایت از صراحت بیشتری برخوردار است.</w:t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5" w:name="_Toc428360007"/>
      <w:r w:rsidRPr="00192B74">
        <w:rPr>
          <w:rFonts w:ascii="IRBadr" w:hAnsi="IRBadr" w:cs="IRBadr"/>
          <w:rtl/>
        </w:rPr>
        <w:t>روایت سوم</w:t>
      </w:r>
      <w:bookmarkEnd w:id="5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در این سند نیز محمد بن سنان دارای اشکال است و افراد دیگر معتبر هستند.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«أَحْمَدُ بْنُ مُحَمَّدِ بْنِ عِ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سِنَانٍ عَنْ حَمَّادِ بْنِ عُثْمَانَ وَ خَلَفِ بْنِ حَمَّادٍ عَنِ الْفُضَ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لِ بْنِ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سَارٍ وَ رِبْعِ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عَبْدِ اللَّهِ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قَعُ عَلَ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مَةِ قَالَ 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حَدٌّ وَ 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تَعْزِ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راً.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کسی که بهیمه ای را وطی می‌کند تعزیر می‌شود.</w:t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6" w:name="_Toc428360008"/>
      <w:r w:rsidRPr="00192B74">
        <w:rPr>
          <w:rFonts w:ascii="IRBadr" w:hAnsi="IRBadr" w:cs="IRBadr"/>
          <w:rtl/>
        </w:rPr>
        <w:t>روایت چهارم</w:t>
      </w:r>
      <w:bookmarkEnd w:id="6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شاید سند این روایت معتبر باشد؛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«عَبْدُ اللَّهِ بْنُ جَعْفَرٍ فِ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قُرْبِ الْإِسْنَادِ عَنِ الْحَسَنِ بْنِ ظَرِ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فٍ عَنِ الْحُسَ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عُلْوَانَ عَنْ جَعْفَرٍ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عَلِ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أَنَّهُ سُئِلَ عَنْ رَا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بِ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مَةِ- فَقَالَ لَا رَجْمَ عَلَ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وَ لَا حَدَّ- وَ 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عَاقَبُ عُقُوبَةً مُوجِعَةً.»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C27AC2" w:rsidRPr="00192B74" w:rsidRDefault="00C27AC2" w:rsidP="00C27AC2">
      <w:pPr>
        <w:pStyle w:val="Heading1"/>
        <w:rPr>
          <w:rFonts w:ascii="IRBadr" w:hAnsi="IRBadr" w:cs="IRBadr"/>
          <w:b/>
          <w:color w:val="000000" w:themeColor="text1"/>
          <w:rtl/>
        </w:rPr>
      </w:pPr>
      <w:bookmarkStart w:id="7" w:name="_Toc428360009"/>
      <w:r w:rsidRPr="00192B74">
        <w:rPr>
          <w:rFonts w:ascii="IRBadr" w:hAnsi="IRBadr" w:cs="IRBadr"/>
          <w:rtl/>
        </w:rPr>
        <w:t>طایفه دوم</w:t>
      </w:r>
      <w:bookmarkEnd w:id="7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این طایفه از روایات دلالت بر ثبوت حد در این مقام دارند؛</w:t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ظاهراً سند این روایت معتبر باشد و روایت دارای سه سند است؛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مُحَمَّدٍ عَنْ صَالِحِ بْنِ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حَمَّادٍ عَنْ بَعْضِ أَصْحَابِهِ عَنْ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ونُسَ عَنْ عَبْدِ اللَّهِ بْنِ سِنَانٍ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وَ الْحُسَ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خَالِدٍ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الْحَسَنِ الرِّضَا ع وَ صَبَّاحٌ الْحَذَّاءُ عَنْ إِسْحَاقَ بْنِ عَمَّارٍ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إِبْرَاهِ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 فِ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الرَّجُلِ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أْتِ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مَةَ 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فَقَالُوا جَمِ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عاً إِنْ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انَتِ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مَةُ لِلْفَاعِلِ ذُبِحَتْ فَإِذَا مَاتَتْ أُحْرِقَتْ بِالنَّارِ وَ لَمْ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نْتَفَعْ بِهَا وَ ضُرِبَ هُوَ خَمْسَةً وَ عِشْرِ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سَوْطاً رُبُعَ حَدِّ الزَّانِ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إِنْ لَمْ تَ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مَةُ لَهُ قُوِّمَتْ فَأُخِذَ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ثمن‌ها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مِنْهُ وَ دُفِعَ إِلَ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صاحب‌ها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ذُبِحَتْ وَ أُحْرِقَتْ بِالنَّارِ وَ لَمْ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نْتَفَعْ بِهَا وَ ضُرِبَ خَمْسَةً وَ عِشْرِ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سَوْطاً فَقُلْتُ وَ مَا ذَنْبُ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مَةِ فَقَالَ لَا ذَنْبَ لَهَا وَ 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رَسُولُ اللَّهِ ص فَعَلَ هَذَا وَ أَمَرَ بِهِ لِ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لَا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جْتَرِئَ النَّاسُ بِالْبَهَائِمِ وَ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نْقَطِعَ النَّسْلُ.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8" w:name="_Toc428360010"/>
      <w:r w:rsidRPr="00192B74">
        <w:rPr>
          <w:rFonts w:ascii="IRBadr" w:hAnsi="IRBadr" w:cs="IRBadr"/>
          <w:rtl/>
        </w:rPr>
        <w:t>طایفه سوم</w:t>
      </w:r>
      <w:bookmarkEnd w:id="8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این طایفه از روایات دلالت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که حد او حد زانی است که در صفحه 572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روایت معتبره نیست چراکه حسن بن علی و حسین بن سیف و برخی دیگر توثیقی ندارند؛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رَوَ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مُحَمَّدُ بْنُ عَلِ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مَحْبُوبٍ عَنِ الْحُسَ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سَ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فٍ عَنْ أَخِ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زَ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أُسَامَةَ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فَرْوَةَ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الَّذِ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أْتِ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بِالْفَاحِشَةِ وَ الَّذِ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أْتِ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مَةَ حَدُّهُ حَدُّ الزَّانِ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9" w:name="_Toc428360011"/>
      <w:r w:rsidRPr="00192B74">
        <w:rPr>
          <w:rFonts w:ascii="IRBadr" w:hAnsi="IRBadr" w:cs="IRBadr"/>
          <w:rtl/>
        </w:rPr>
        <w:t>طایفه چهارم</w:t>
      </w:r>
      <w:bookmarkEnd w:id="9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این طایفه قائل به حد قتل است؛</w:t>
      </w: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10" w:name="_Toc428360012"/>
      <w:r w:rsidRPr="00192B74">
        <w:rPr>
          <w:rFonts w:ascii="IRBadr" w:hAnsi="IRBadr" w:cs="IRBadr"/>
          <w:rtl/>
        </w:rPr>
        <w:t>روایت اول</w:t>
      </w:r>
      <w:bookmarkEnd w:id="10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این روایت نیز سندش معتبر نیست؛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«الْحُسَ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سَعِ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عَنِ ابْنِ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جَمِ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لِ بْنِ دَرَّاجٍ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أَتَ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مَةً قَالَ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قْتَلُ.»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C27AC2" w:rsidRPr="00192B74" w:rsidRDefault="00C27AC2" w:rsidP="00C27AC2">
      <w:pPr>
        <w:pStyle w:val="Heading1"/>
        <w:rPr>
          <w:rFonts w:ascii="IRBadr" w:hAnsi="IRBadr" w:cs="IRBadr"/>
          <w:rtl/>
        </w:rPr>
      </w:pPr>
      <w:bookmarkStart w:id="11" w:name="_Toc428360013"/>
      <w:r w:rsidRPr="00192B74">
        <w:rPr>
          <w:rFonts w:ascii="IRBadr" w:hAnsi="IRBadr" w:cs="IRBadr"/>
          <w:rtl/>
        </w:rPr>
        <w:lastRenderedPageBreak/>
        <w:t>روایت دوم</w:t>
      </w:r>
      <w:bookmarkEnd w:id="11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این نیز سند معتبری ندارد؛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«الْحُسَ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سَعِ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عَنِ الْقَاسِمِ عَنْ عَبْدِ الصَّمَدِ بْنِ بَشِ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سُلَ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مَانَ بْنِ هِلَالٍ قَالَ: سَأَلَ بَعْضُ أَصْحَابِنَا أَبَا عَبْدِ اللَّهِ ع عَنِ الرَّجُلِ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أْتِ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الْبَهِ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مَةَ فَقَالَ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قَامُ قَائِماً 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ضْرَبُ ضَرْبَةً بِالسَّ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فِ أَخَذَ السَّ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فُ مِنْهُ مَا أَخَذَ قَالَ فَقُلْتُ هُوَ الْقَتْلُ قَالَ هُوَ ذَا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9"/>
      </w:r>
    </w:p>
    <w:p w:rsidR="00C27AC2" w:rsidRPr="00192B74" w:rsidRDefault="00C27AC2" w:rsidP="00C27AC2">
      <w:pPr>
        <w:pStyle w:val="Heading2"/>
        <w:rPr>
          <w:rFonts w:ascii="IRBadr" w:hAnsi="IRBadr" w:cs="IRBadr"/>
          <w:rtl/>
        </w:rPr>
      </w:pPr>
      <w:bookmarkStart w:id="12" w:name="_Toc428360014"/>
      <w:r w:rsidRPr="00192B74">
        <w:rPr>
          <w:rFonts w:ascii="IRBadr" w:hAnsi="IRBadr" w:cs="IRBadr"/>
          <w:rtl/>
        </w:rPr>
        <w:t>وجوه جمع بین روایات</w:t>
      </w:r>
      <w:bookmarkEnd w:id="12"/>
    </w:p>
    <w:p w:rsidR="00C27AC2" w:rsidRPr="00192B74" w:rsidRDefault="00C27AC2" w:rsidP="00C27AC2">
      <w:pPr>
        <w:pStyle w:val="Heading2"/>
        <w:rPr>
          <w:rFonts w:ascii="IRBadr" w:hAnsi="IRBadr" w:cs="IRBadr"/>
          <w:rtl/>
        </w:rPr>
      </w:pPr>
      <w:bookmarkStart w:id="13" w:name="_Toc428360015"/>
      <w:r w:rsidRPr="00192B74">
        <w:rPr>
          <w:rFonts w:ascii="IRBadr" w:hAnsi="IRBadr" w:cs="IRBadr"/>
          <w:rtl/>
        </w:rPr>
        <w:t>وجه اول</w:t>
      </w:r>
      <w:bookmarkEnd w:id="13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این جمع در کلمات شیخ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 که روایات قائل به حد در محلی است که دخول به مقدار حد صورت نگرفته است.</w:t>
      </w:r>
    </w:p>
    <w:p w:rsidR="00C27AC2" w:rsidRPr="00192B74" w:rsidRDefault="00C27AC2" w:rsidP="00C27AC2">
      <w:pPr>
        <w:pStyle w:val="Heading2"/>
        <w:rPr>
          <w:rFonts w:ascii="IRBadr" w:hAnsi="IRBadr" w:cs="IRBadr"/>
          <w:rtl/>
        </w:rPr>
      </w:pPr>
      <w:bookmarkStart w:id="14" w:name="_Toc428360016"/>
      <w:r w:rsidRPr="00192B74">
        <w:rPr>
          <w:rFonts w:ascii="IRBadr" w:hAnsi="IRBadr" w:cs="IRBadr"/>
          <w:rtl/>
        </w:rPr>
        <w:t>اتخاذ مبنا</w:t>
      </w:r>
      <w:bookmarkEnd w:id="14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البته این جمع تبرعی است و دلیلی بر آن وجود ندارد.</w:t>
      </w:r>
    </w:p>
    <w:p w:rsidR="00C27AC2" w:rsidRPr="00192B74" w:rsidRDefault="00C27AC2" w:rsidP="00C27AC2">
      <w:pPr>
        <w:pStyle w:val="Heading2"/>
        <w:rPr>
          <w:rFonts w:ascii="IRBadr" w:hAnsi="IRBadr" w:cs="IRBadr"/>
          <w:rtl/>
        </w:rPr>
      </w:pPr>
      <w:bookmarkStart w:id="15" w:name="_Toc428360017"/>
      <w:r w:rsidRPr="00192B74">
        <w:rPr>
          <w:rFonts w:ascii="IRBadr" w:hAnsi="IRBadr" w:cs="IRBadr"/>
          <w:rtl/>
        </w:rPr>
        <w:t>وجه دوم</w:t>
      </w:r>
      <w:bookmarkEnd w:id="15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وجه دیگر این است که روایات حد مربوط به محلی است که تکرار صورت بگیرد.</w:t>
      </w:r>
    </w:p>
    <w:p w:rsidR="00C27AC2" w:rsidRPr="00192B74" w:rsidRDefault="00C27AC2" w:rsidP="00C27AC2">
      <w:pPr>
        <w:pStyle w:val="Heading2"/>
        <w:rPr>
          <w:rFonts w:ascii="IRBadr" w:hAnsi="IRBadr" w:cs="IRBadr"/>
          <w:rtl/>
        </w:rPr>
      </w:pPr>
      <w:bookmarkStart w:id="16" w:name="_Toc428360018"/>
      <w:r w:rsidRPr="00192B74">
        <w:rPr>
          <w:rFonts w:ascii="IRBadr" w:hAnsi="IRBadr" w:cs="IRBadr"/>
          <w:rtl/>
        </w:rPr>
        <w:t>اتخاذ مبنا</w:t>
      </w:r>
      <w:bookmarkEnd w:id="16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این وجه نیز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نشأت‌گرفته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از استحسان است.</w:t>
      </w:r>
    </w:p>
    <w:p w:rsidR="00C27AC2" w:rsidRPr="00192B74" w:rsidRDefault="00C27AC2" w:rsidP="00C27AC2">
      <w:pPr>
        <w:pStyle w:val="Heading3"/>
        <w:rPr>
          <w:rFonts w:ascii="IRBadr" w:hAnsi="IRBadr" w:cs="IRBadr"/>
          <w:rtl/>
        </w:rPr>
      </w:pPr>
      <w:bookmarkStart w:id="17" w:name="_Toc428360019"/>
      <w:r w:rsidRPr="00192B74">
        <w:rPr>
          <w:rFonts w:ascii="IRBadr" w:hAnsi="IRBadr" w:cs="IRBadr"/>
          <w:rtl/>
        </w:rPr>
        <w:t xml:space="preserve">نظر عامه در این </w:t>
      </w:r>
      <w:r w:rsidR="00B25EFB">
        <w:rPr>
          <w:rFonts w:ascii="IRBadr" w:hAnsi="IRBadr" w:cs="IRBadr"/>
          <w:rtl/>
        </w:rPr>
        <w:t>مسئله</w:t>
      </w:r>
      <w:bookmarkEnd w:id="17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در این زمینه در میان عامه نیز اقوالی وجود دارد که برخی قائل به تعزیر شدید،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قائل به جریان حد زنا یا حد لواط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شده‌اند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در میان شیعه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عامه قول به غیر تعزیر قولی نادر است.</w:t>
      </w:r>
    </w:p>
    <w:p w:rsidR="00C27AC2" w:rsidRPr="00B25EFB" w:rsidRDefault="00C27AC2" w:rsidP="00B25EFB">
      <w:pPr>
        <w:pStyle w:val="Heading4"/>
        <w:rPr>
          <w:rtl/>
        </w:rPr>
      </w:pPr>
      <w:bookmarkStart w:id="18" w:name="_Toc428360020"/>
      <w:r w:rsidRPr="00B25EFB">
        <w:rPr>
          <w:rtl/>
        </w:rPr>
        <w:lastRenderedPageBreak/>
        <w:t>مرجحات در این مقام</w:t>
      </w:r>
      <w:bookmarkEnd w:id="18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در این مقام امثال حضرت امام که شهرت فتوایی را مقدم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می‌دانند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به تعزیر را انتخاب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25EFB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نظر امثال آقای خویی که موافقت کتاب را مقدم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می‌دانند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، باید گفت که این </w:t>
      </w:r>
      <w:r w:rsidR="00B25EFB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در آیات ذکر نشده است.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که تعزیر موافقت با کتاب است چراکه برای آن حدی در کتاب ذکر نشده است پس روایاتی که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درباره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تعزیر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و از حد ساکت هستند،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مطابق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کتاب‌اند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البته بعید نیست این را نوعی از موافقت بدانیم.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قبال مرجح مخالفت عامه نیز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در اینجا به جزمی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دست‌یافت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چراکه در میان عامه نیز اقوال متعددی وجود دارد.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روایت قتل را حمل بر تقیه نمود.</w:t>
      </w:r>
    </w:p>
    <w:p w:rsidR="00C27AC2" w:rsidRPr="00192B74" w:rsidRDefault="00C27AC2" w:rsidP="00B25EFB">
      <w:pPr>
        <w:pStyle w:val="Heading4"/>
        <w:rPr>
          <w:rtl/>
        </w:rPr>
      </w:pPr>
      <w:bookmarkStart w:id="19" w:name="_Toc428360021"/>
      <w:r w:rsidRPr="00192B74">
        <w:rPr>
          <w:rtl/>
        </w:rPr>
        <w:t>رجوع به عمومات</w:t>
      </w:r>
      <w:bookmarkEnd w:id="19"/>
    </w:p>
    <w:p w:rsidR="00C27AC2" w:rsidRPr="00192B74" w:rsidRDefault="00877779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 xml:space="preserve"> یک احتمال که م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ر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>جحات در اینجا مصداق نداشت،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رجوع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 xml:space="preserve"> به عمومات 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 xml:space="preserve"> که برای کبائر تعزیر وجود دارد.</w:t>
      </w:r>
    </w:p>
    <w:p w:rsidR="00C27AC2" w:rsidRPr="00192B74" w:rsidRDefault="00C27AC2" w:rsidP="00B25EFB">
      <w:pPr>
        <w:pStyle w:val="Heading4"/>
        <w:rPr>
          <w:rtl/>
        </w:rPr>
      </w:pPr>
      <w:bookmarkStart w:id="20" w:name="_Toc428360022"/>
      <w:r w:rsidRPr="00192B74">
        <w:rPr>
          <w:rtl/>
        </w:rPr>
        <w:t>اقرار نزد حاکم</w:t>
      </w:r>
      <w:bookmarkEnd w:id="20"/>
    </w:p>
    <w:p w:rsidR="00C27AC2" w:rsidRPr="00192B74" w:rsidRDefault="00C27AC2" w:rsidP="0087777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کلی در روایات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 که اعتراف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به ذنب،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عند الناس اشاعه فحشا است.</w:t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«إِنَّ الَّذِ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حِبُّونَ أَنْ تَشِ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عَ الْفاحِشَةُ فِ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الَّذِ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لَهُمْ عَذابٌ أَلِ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مٌ فِ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الدُّنْ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 وَ الْآخِرَةِ وَ اللَّهُ 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عْلَمُ وَ أَنْتُمْ لا 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تَعْلَمُونَ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192B74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0"/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اما در این مقام که فرد برای تطهیر نزد حاکم اعتراف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خارج‌شده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27AC2" w:rsidRPr="00192B74" w:rsidRDefault="00C27AC2" w:rsidP="00B25EFB">
      <w:pPr>
        <w:pStyle w:val="Heading4"/>
        <w:rPr>
          <w:rtl/>
        </w:rPr>
      </w:pPr>
      <w:bookmarkStart w:id="21" w:name="_Toc428360023"/>
      <w:r w:rsidRPr="00192B74">
        <w:rPr>
          <w:rtl/>
        </w:rPr>
        <w:t>ازاله بکارت</w:t>
      </w:r>
      <w:bookmarkEnd w:id="21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B25EFB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در مورد کسی است که بکارت کسی را نه با زنا بلکه با شیوه دیگری </w:t>
      </w:r>
      <w:r w:rsidR="00B25EFB">
        <w:rPr>
          <w:rFonts w:ascii="IRBadr" w:hAnsi="IRBadr" w:cs="IRBadr"/>
          <w:sz w:val="28"/>
          <w:szCs w:val="28"/>
          <w:rtl/>
          <w:lang w:bidi="fa-IR"/>
        </w:rPr>
        <w:t>زایل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حرمت این عمل مشخص است.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در آیه شریفه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«فَمَنِ 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ابْتَغی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وَراءَ ذلِ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فَأُولئِ</w:t>
      </w:r>
      <w:r w:rsidR="00877779"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192B7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هُمُ العادُونَ»</w:t>
      </w:r>
      <w:r w:rsidRPr="00192B74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در این </w:t>
      </w:r>
      <w:r w:rsidR="00B25EFB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دو قول است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یک قول تعزیر و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دیگری حد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که هشتاد ضربه شلاق است.</w:t>
      </w:r>
    </w:p>
    <w:p w:rsidR="00C27AC2" w:rsidRPr="00192B74" w:rsidRDefault="00C27AC2" w:rsidP="00B25EFB">
      <w:pPr>
        <w:pStyle w:val="Heading4"/>
        <w:rPr>
          <w:rtl/>
        </w:rPr>
      </w:pPr>
      <w:bookmarkStart w:id="22" w:name="_Toc428360024"/>
      <w:r w:rsidRPr="00192B74">
        <w:rPr>
          <w:rtl/>
        </w:rPr>
        <w:lastRenderedPageBreak/>
        <w:t>مستندات بحث</w:t>
      </w:r>
      <w:bookmarkEnd w:id="22"/>
    </w:p>
    <w:p w:rsidR="00C27AC2" w:rsidRPr="00192B74" w:rsidRDefault="00877779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 xml:space="preserve"> مستندات این بحث روایت عبدالله بن سنان است که در جلد هیجده، باب 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سی‌ونه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 xml:space="preserve"> از ابواب حد زنا 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C27AC2"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C27AC2" w:rsidRPr="00192B74" w:rsidRDefault="00C27AC2" w:rsidP="00C27AC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نَجْرَانَ عَنْ عَبْدِ اللَّهِ بْنِ سِنَانٍ عَنْ أَبِ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امْرَأَةٍ افْتَضَّتْ جَارِ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ةً بِ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دِهَا قَالَ عَلَ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مَهْرُهَا وَ تُجْلَدُ ثَمَانِ</w:t>
      </w:r>
      <w:r w:rsidR="00877779"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92B74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نَ.» </w:t>
      </w:r>
      <w:r w:rsidRPr="00192B74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2"/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این زنی که بکارت دیگری را از بین برد، هشتاد شلاق می‌خورد و در </w:t>
      </w:r>
      <w:r w:rsidR="00B25EFB">
        <w:rPr>
          <w:rFonts w:ascii="IRBadr" w:hAnsi="IRBadr" w:cs="IRBadr"/>
          <w:sz w:val="28"/>
          <w:szCs w:val="28"/>
          <w:rtl/>
          <w:lang w:bidi="fa-IR"/>
        </w:rPr>
        <w:t>صحیحه‌ای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دیگر همین مضمون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 که نظر مشهور نیز همین است.</w:t>
      </w:r>
    </w:p>
    <w:p w:rsidR="00C27AC2" w:rsidRPr="00192B74" w:rsidRDefault="00C27AC2" w:rsidP="00B25EFB">
      <w:pPr>
        <w:pStyle w:val="Heading4"/>
        <w:rPr>
          <w:rtl/>
        </w:rPr>
      </w:pPr>
      <w:bookmarkStart w:id="23" w:name="_Toc428360025"/>
      <w:r w:rsidRPr="00192B74">
        <w:rPr>
          <w:rtl/>
        </w:rPr>
        <w:t xml:space="preserve">بیع خمر با علم </w:t>
      </w:r>
      <w:r w:rsidR="00877779" w:rsidRPr="00192B74">
        <w:rPr>
          <w:rtl/>
        </w:rPr>
        <w:t>به‌حکم</w:t>
      </w:r>
      <w:r w:rsidRPr="00192B74">
        <w:rPr>
          <w:rtl/>
        </w:rPr>
        <w:t xml:space="preserve"> و موضوع</w:t>
      </w:r>
      <w:bookmarkEnd w:id="23"/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مسئله دیگر این است که؛</w:t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>اگر کسی خمری را با عام به موضوع و حکم فروخت،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درصورتی‌که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استحلال او منجر به انکار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ضروری‌ای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از دین منجر شود،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مرتد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 و الا اگر بر اساس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لاابالی‌گری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بوده باشد،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بر او جاری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>.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B25EFB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از مواردی است که در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قبالان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دلیل خاص وجود ندارد.</w:t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البته در این زمینه مباحثی نیز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 که این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ذیل آیه حرمت تعاون بر اثم </w:t>
      </w:r>
      <w:r w:rsidR="00877779" w:rsidRPr="00192B74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192B7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27AC2" w:rsidRPr="00192B74" w:rsidRDefault="00C27AC2" w:rsidP="00C27A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192B74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192B74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78" w:rsidRDefault="008B1878" w:rsidP="000D5800">
      <w:pPr>
        <w:spacing w:after="0" w:line="240" w:lineRule="auto"/>
      </w:pPr>
      <w:r>
        <w:separator/>
      </w:r>
    </w:p>
  </w:endnote>
  <w:endnote w:type="continuationSeparator" w:id="0">
    <w:p w:rsidR="008B1878" w:rsidRDefault="008B187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Lotus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78" w:rsidRDefault="008B1878" w:rsidP="00A500AE">
      <w:pPr>
        <w:bidi/>
        <w:spacing w:after="0" w:line="240" w:lineRule="auto"/>
      </w:pPr>
      <w:r>
        <w:separator/>
      </w:r>
    </w:p>
  </w:footnote>
  <w:footnote w:type="continuationSeparator" w:id="0">
    <w:p w:rsidR="008B1878" w:rsidRDefault="008B1878" w:rsidP="000D5800">
      <w:pPr>
        <w:spacing w:after="0" w:line="240" w:lineRule="auto"/>
      </w:pPr>
      <w:r>
        <w:continuationSeparator/>
      </w:r>
    </w:p>
  </w:footnote>
  <w:footnote w:id="1">
    <w:p w:rsidR="00C27AC2" w:rsidRDefault="00C27AC2" w:rsidP="00C27AC2">
      <w:pPr>
        <w:pStyle w:val="FootnoteText"/>
        <w:rPr>
          <w:rFonts w:cstheme="minorBidi"/>
          <w:rtl/>
        </w:rPr>
      </w:pPr>
      <w:bookmarkStart w:id="1" w:name="_GoBack"/>
      <w:bookmarkEnd w:id="1"/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Lotus" w:hAnsi="Noor_Lotus" w:cs="B Badr" w:hint="cs"/>
          <w:color w:val="000000" w:themeColor="text1"/>
          <w:rtl/>
        </w:rPr>
        <w:t xml:space="preserve">- </w:t>
      </w:r>
      <w:r w:rsidR="00B25EFB">
        <w:rPr>
          <w:rFonts w:ascii="Noor_Lotus" w:hAnsi="Noor_Lotus" w:cs="B Badr"/>
          <w:color w:val="000000" w:themeColor="text1"/>
          <w:rtl/>
        </w:rPr>
        <w:t>تحر</w:t>
      </w:r>
      <w:r w:rsidR="00B25EFB">
        <w:rPr>
          <w:rFonts w:ascii="Noor_Lotus" w:hAnsi="Noor_Lotus" w:cs="B Badr" w:hint="cs"/>
          <w:color w:val="000000" w:themeColor="text1"/>
          <w:rtl/>
        </w:rPr>
        <w:t>ی</w:t>
      </w:r>
      <w:r w:rsidR="00B25EFB">
        <w:rPr>
          <w:rFonts w:ascii="Noor_Lotus" w:hAnsi="Noor_Lotus" w:cs="B Badr" w:hint="eastAsia"/>
          <w:color w:val="000000" w:themeColor="text1"/>
          <w:rtl/>
        </w:rPr>
        <w:t>رالوس</w:t>
      </w:r>
      <w:r w:rsidR="00B25EFB">
        <w:rPr>
          <w:rFonts w:ascii="Noor_Lotus" w:hAnsi="Noor_Lotus" w:cs="B Badr" w:hint="cs"/>
          <w:color w:val="000000" w:themeColor="text1"/>
          <w:rtl/>
        </w:rPr>
        <w:t>ی</w:t>
      </w:r>
      <w:r w:rsidR="00B25EFB">
        <w:rPr>
          <w:rFonts w:ascii="Noor_Lotus" w:hAnsi="Noor_Lotus" w:cs="B Badr" w:hint="eastAsia"/>
          <w:color w:val="000000" w:themeColor="text1"/>
          <w:rtl/>
        </w:rPr>
        <w:t>له</w:t>
      </w:r>
      <w:r>
        <w:rPr>
          <w:rFonts w:ascii="Noor_Lotus" w:hAnsi="Noor_Lotus" w:cs="B Badr" w:hint="cs"/>
          <w:color w:val="000000" w:themeColor="text1"/>
          <w:rtl/>
        </w:rPr>
        <w:t>، ج 2، ص 483</w:t>
      </w:r>
      <w:r w:rsidR="00F10116">
        <w:rPr>
          <w:rFonts w:cstheme="minorBidi" w:hint="cs"/>
          <w:rtl/>
        </w:rPr>
        <w:t>.</w:t>
      </w:r>
    </w:p>
  </w:footnote>
  <w:footnote w:id="2">
    <w:p w:rsidR="00C27AC2" w:rsidRDefault="00C27AC2" w:rsidP="00C27AC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الاستبصار ف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877779">
        <w:rPr>
          <w:rFonts w:ascii="Noor_Titr" w:hAnsi="Noor_Titr" w:cs="B Badr"/>
          <w:color w:val="000000" w:themeColor="text1"/>
          <w:rtl/>
        </w:rPr>
        <w:t>ج 4</w:t>
      </w:r>
      <w:r>
        <w:rPr>
          <w:rFonts w:ascii="Noor_Titr" w:hAnsi="Noor_Titr" w:cs="B Badr" w:hint="cs"/>
          <w:color w:val="000000" w:themeColor="text1"/>
          <w:rtl/>
        </w:rPr>
        <w:t>، ص: 223</w:t>
      </w:r>
      <w:r w:rsidR="00F10116">
        <w:rPr>
          <w:rFonts w:hint="cs"/>
          <w:rtl/>
        </w:rPr>
        <w:t>.</w:t>
      </w:r>
    </w:p>
  </w:footnote>
  <w:footnote w:id="3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تهذ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ب الأح</w:t>
      </w:r>
      <w:r w:rsidR="0087777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877779">
        <w:rPr>
          <w:rFonts w:ascii="Noor_Titr" w:hAnsi="Noor_Titr" w:cs="B Badr"/>
          <w:color w:val="000000" w:themeColor="text1"/>
          <w:rtl/>
        </w:rPr>
        <w:t>ج 10</w:t>
      </w:r>
      <w:r>
        <w:rPr>
          <w:rFonts w:ascii="Noor_Titr" w:hAnsi="Noor_Titr" w:cs="B Badr" w:hint="cs"/>
          <w:color w:val="000000" w:themeColor="text1"/>
          <w:rtl/>
        </w:rPr>
        <w:t>، ص: 61</w:t>
      </w:r>
      <w:r w:rsidR="00F10116">
        <w:rPr>
          <w:rFonts w:hint="cs"/>
          <w:rtl/>
        </w:rPr>
        <w:t>.</w:t>
      </w:r>
    </w:p>
  </w:footnote>
  <w:footnote w:id="4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تهذ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ب الأح</w:t>
      </w:r>
      <w:r w:rsidR="0087777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877779">
        <w:rPr>
          <w:rFonts w:ascii="Noor_Titr" w:hAnsi="Noor_Titr" w:cs="B Badr"/>
          <w:color w:val="000000" w:themeColor="text1"/>
          <w:rtl/>
        </w:rPr>
        <w:t>ج 10</w:t>
      </w:r>
      <w:r>
        <w:rPr>
          <w:rFonts w:ascii="Noor_Titr" w:hAnsi="Noor_Titr" w:cs="B Badr" w:hint="cs"/>
          <w:color w:val="000000" w:themeColor="text1"/>
          <w:rtl/>
        </w:rPr>
        <w:t>، ص: 61</w:t>
      </w:r>
      <w:r w:rsidR="00F10116">
        <w:rPr>
          <w:rFonts w:hint="cs"/>
          <w:rtl/>
        </w:rPr>
        <w:t>.</w:t>
      </w:r>
    </w:p>
  </w:footnote>
  <w:footnote w:id="5">
    <w:p w:rsidR="00C27AC2" w:rsidRDefault="00C27AC2" w:rsidP="00C27AC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وسائل الش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877779">
        <w:rPr>
          <w:rFonts w:ascii="Noor_Titr" w:hAnsi="Noor_Titr" w:cs="B Badr"/>
          <w:color w:val="000000" w:themeColor="text1"/>
          <w:rtl/>
        </w:rPr>
        <w:t>ج 28</w:t>
      </w:r>
      <w:r>
        <w:rPr>
          <w:rFonts w:ascii="Noor_Titr" w:hAnsi="Noor_Titr" w:cs="B Badr" w:hint="cs"/>
          <w:color w:val="000000" w:themeColor="text1"/>
          <w:rtl/>
        </w:rPr>
        <w:t>، ص: 361</w:t>
      </w:r>
      <w:r w:rsidR="00F10116">
        <w:rPr>
          <w:rFonts w:hint="cs"/>
          <w:rtl/>
        </w:rPr>
        <w:t>.</w:t>
      </w:r>
    </w:p>
  </w:footnote>
  <w:footnote w:id="6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87777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877779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204</w:t>
      </w:r>
      <w:r w:rsidR="00F10116">
        <w:rPr>
          <w:rFonts w:hint="cs"/>
          <w:rtl/>
        </w:rPr>
        <w:t>.</w:t>
      </w:r>
    </w:p>
  </w:footnote>
  <w:footnote w:id="7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الاستبصار ف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877779">
        <w:rPr>
          <w:rFonts w:ascii="Noor_Titr" w:hAnsi="Noor_Titr" w:cs="B Badr"/>
          <w:color w:val="000000" w:themeColor="text1"/>
          <w:rtl/>
        </w:rPr>
        <w:t>ج 4</w:t>
      </w:r>
      <w:r>
        <w:rPr>
          <w:rFonts w:ascii="Noor_Titr" w:hAnsi="Noor_Titr" w:cs="B Badr" w:hint="cs"/>
          <w:color w:val="000000" w:themeColor="text1"/>
          <w:rtl/>
        </w:rPr>
        <w:t>، ص: 224</w:t>
      </w:r>
      <w:r w:rsidR="00F10116">
        <w:rPr>
          <w:rFonts w:hint="cs"/>
          <w:rtl/>
        </w:rPr>
        <w:t>.</w:t>
      </w:r>
    </w:p>
  </w:footnote>
  <w:footnote w:id="8">
    <w:p w:rsidR="00C27AC2" w:rsidRDefault="00C27AC2" w:rsidP="00C27AC2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تهذ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ب الأح</w:t>
      </w:r>
      <w:r w:rsidR="0087777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877779">
        <w:rPr>
          <w:rFonts w:ascii="Noor_Titr" w:hAnsi="Noor_Titr" w:cs="B Badr"/>
          <w:color w:val="000000" w:themeColor="text1"/>
          <w:rtl/>
        </w:rPr>
        <w:t>ج 10</w:t>
      </w:r>
      <w:r>
        <w:rPr>
          <w:rFonts w:ascii="Noor_Titr" w:hAnsi="Noor_Titr" w:cs="B Badr" w:hint="cs"/>
          <w:color w:val="000000" w:themeColor="text1"/>
          <w:rtl/>
        </w:rPr>
        <w:t>، ص: 61</w:t>
      </w:r>
      <w:r w:rsidR="00F10116">
        <w:rPr>
          <w:rFonts w:hint="cs"/>
          <w:rtl/>
        </w:rPr>
        <w:t>.</w:t>
      </w:r>
    </w:p>
  </w:footnote>
  <w:footnote w:id="9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F1011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الاستبصار ف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877779">
        <w:rPr>
          <w:rFonts w:ascii="Noor_Titr" w:hAnsi="Noor_Titr" w:cs="B Badr"/>
          <w:color w:val="000000" w:themeColor="text1"/>
          <w:rtl/>
        </w:rPr>
        <w:t>ج 4</w:t>
      </w:r>
      <w:r>
        <w:rPr>
          <w:rFonts w:ascii="Noor_Titr" w:hAnsi="Noor_Titr" w:cs="B Badr" w:hint="cs"/>
          <w:color w:val="000000" w:themeColor="text1"/>
          <w:rtl/>
        </w:rPr>
        <w:t>، ص: 224</w:t>
      </w:r>
      <w:r w:rsidR="00F10116">
        <w:rPr>
          <w:rFonts w:hint="cs"/>
          <w:rtl/>
        </w:rPr>
        <w:t>.</w:t>
      </w:r>
    </w:p>
  </w:footnote>
  <w:footnote w:id="10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Badr" w:hint="cs"/>
          <w:rtl/>
        </w:rPr>
        <w:t>نور /19</w:t>
      </w:r>
    </w:p>
  </w:footnote>
  <w:footnote w:id="11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 w:rsidR="00877779">
        <w:t xml:space="preserve"> </w:t>
      </w:r>
      <w:r>
        <w:rPr>
          <w:rFonts w:cs="B Badr" w:hint="cs"/>
          <w:rtl/>
        </w:rPr>
        <w:t>مؤمنون/7</w:t>
      </w:r>
    </w:p>
  </w:footnote>
  <w:footnote w:id="12">
    <w:p w:rsidR="00C27AC2" w:rsidRDefault="00C27AC2" w:rsidP="00C27AC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87777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87777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877779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192B74" w:rsidRDefault="000D5800" w:rsidP="00192B74">
    <w:pPr>
      <w:tabs>
        <w:tab w:val="left" w:pos="1256"/>
        <w:tab w:val="left" w:pos="5696"/>
        <w:tab w:val="right" w:pos="9071"/>
      </w:tabs>
      <w:bidi/>
      <w:rPr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0732A46" wp14:editId="2D2976C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A6DD0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4" w:name="OLE_LINK1"/>
    <w:bookmarkStart w:id="25" w:name="OLE_LINK2"/>
    <w:r>
      <w:rPr>
        <w:noProof/>
        <w:lang w:bidi="fa-IR"/>
      </w:rPr>
      <w:drawing>
        <wp:inline distT="0" distB="0" distL="0" distR="0" wp14:anchorId="2ABF793B" wp14:editId="0E9A8F5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27AC2">
      <w:rPr>
        <w:rFonts w:ascii="IranNastaliq" w:hAnsi="IranNastaliq" w:cs="IranNastaliq" w:hint="cs"/>
        <w:sz w:val="40"/>
        <w:szCs w:val="40"/>
        <w:rtl/>
        <w:lang w:bidi="fa-IR"/>
      </w:rPr>
      <w:t>953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2557B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2B74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51B89"/>
    <w:rsid w:val="004651D2"/>
    <w:rsid w:val="00465D26"/>
    <w:rsid w:val="004679F8"/>
    <w:rsid w:val="00486540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D66AC"/>
    <w:rsid w:val="006F01B4"/>
    <w:rsid w:val="00727867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77779"/>
    <w:rsid w:val="00883733"/>
    <w:rsid w:val="00884041"/>
    <w:rsid w:val="008965D2"/>
    <w:rsid w:val="008A236D"/>
    <w:rsid w:val="008B1878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00AE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25EFB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27AC2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116"/>
    <w:rsid w:val="00F10A0F"/>
    <w:rsid w:val="00F2105B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25EFB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25EFB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0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25EFB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25EFB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0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1BE9-F160-4A49-AAFE-FA4D26AB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108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59</cp:revision>
  <dcterms:created xsi:type="dcterms:W3CDTF">2014-12-20T10:23:00Z</dcterms:created>
  <dcterms:modified xsi:type="dcterms:W3CDTF">2015-08-27T06:21:00Z</dcterms:modified>
</cp:coreProperties>
</file>