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D6" w:rsidRDefault="00C12CB2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522031" w:rsidRDefault="00522031" w:rsidP="0052203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522031" w:rsidRDefault="00522031" w:rsidP="0052203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360178" w:history="1">
        <w:r w:rsidRPr="006F0C0D">
          <w:rPr>
            <w:rStyle w:val="Hyperlink"/>
            <w:rFonts w:ascii="IRBadr" w:hAnsi="IRBadr" w:cs="IRBadr" w:hint="eastAsia"/>
            <w:noProof/>
            <w:rtl/>
          </w:rPr>
          <w:t>دفاع</w:t>
        </w:r>
        <w:r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F0C0D">
          <w:rPr>
            <w:rStyle w:val="Hyperlink"/>
            <w:rFonts w:ascii="IRBadr" w:hAnsi="IRBadr" w:cs="IRBadr" w:hint="eastAsia"/>
            <w:noProof/>
            <w:rtl/>
          </w:rPr>
          <w:t>عن</w:t>
        </w:r>
        <w:r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6F0C0D">
          <w:rPr>
            <w:rStyle w:val="Hyperlink"/>
            <w:rFonts w:ascii="IRBadr" w:hAnsi="IRBadr" w:cs="IRBadr" w:hint="eastAsia"/>
            <w:noProof/>
            <w:rtl/>
          </w:rPr>
          <w:t>النفس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_Toc428360178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522031" w:rsidRDefault="009F20AA" w:rsidP="0052203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179" w:history="1"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کتب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فقه</w:t>
        </w:r>
        <w:r w:rsidR="00522031" w:rsidRPr="006F0C0D">
          <w:rPr>
            <w:rStyle w:val="Hyperlink"/>
            <w:rFonts w:ascii="IRBadr" w:hAnsi="IRBadr" w:cs="IRBadr" w:hint="cs"/>
            <w:noProof/>
            <w:rtl/>
          </w:rPr>
          <w:t>ی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ادوار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مختلف</w:t>
        </w:r>
        <w:r w:rsidR="00522031">
          <w:rPr>
            <w:noProof/>
            <w:webHidden/>
          </w:rPr>
          <w:tab/>
        </w:r>
        <w:r w:rsidR="00522031">
          <w:rPr>
            <w:rStyle w:val="Hyperlink"/>
            <w:noProof/>
            <w:rtl/>
          </w:rPr>
          <w:fldChar w:fldCharType="begin"/>
        </w:r>
        <w:r w:rsidR="00522031">
          <w:rPr>
            <w:noProof/>
            <w:webHidden/>
          </w:rPr>
          <w:instrText xml:space="preserve"> PAGEREF _Toc428360179 \h </w:instrText>
        </w:r>
        <w:r w:rsidR="00522031">
          <w:rPr>
            <w:rStyle w:val="Hyperlink"/>
            <w:noProof/>
            <w:rtl/>
          </w:rPr>
        </w:r>
        <w:r w:rsidR="00522031">
          <w:rPr>
            <w:rStyle w:val="Hyperlink"/>
            <w:noProof/>
            <w:rtl/>
          </w:rPr>
          <w:fldChar w:fldCharType="separate"/>
        </w:r>
        <w:r w:rsidR="00522031">
          <w:rPr>
            <w:noProof/>
            <w:webHidden/>
          </w:rPr>
          <w:t>1</w:t>
        </w:r>
        <w:r w:rsidR="00522031">
          <w:rPr>
            <w:rStyle w:val="Hyperlink"/>
            <w:noProof/>
            <w:rtl/>
          </w:rPr>
          <w:fldChar w:fldCharType="end"/>
        </w:r>
      </w:hyperlink>
    </w:p>
    <w:p w:rsidR="00522031" w:rsidRDefault="009F20AA" w:rsidP="0052203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180" w:history="1"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تعز</w:t>
        </w:r>
        <w:r w:rsidR="00522031" w:rsidRPr="006F0C0D">
          <w:rPr>
            <w:rStyle w:val="Hyperlink"/>
            <w:rFonts w:ascii="IRBadr" w:hAnsi="IRBadr" w:cs="IRBadr" w:hint="cs"/>
            <w:noProof/>
            <w:rtl/>
          </w:rPr>
          <w:t>ی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522031">
          <w:rPr>
            <w:noProof/>
            <w:webHidden/>
          </w:rPr>
          <w:tab/>
        </w:r>
        <w:r w:rsidR="00522031">
          <w:rPr>
            <w:rStyle w:val="Hyperlink"/>
            <w:noProof/>
            <w:rtl/>
          </w:rPr>
          <w:fldChar w:fldCharType="begin"/>
        </w:r>
        <w:r w:rsidR="00522031">
          <w:rPr>
            <w:noProof/>
            <w:webHidden/>
          </w:rPr>
          <w:instrText xml:space="preserve"> PAGEREF _Toc428360180 \h </w:instrText>
        </w:r>
        <w:r w:rsidR="00522031">
          <w:rPr>
            <w:rStyle w:val="Hyperlink"/>
            <w:noProof/>
            <w:rtl/>
          </w:rPr>
        </w:r>
        <w:r w:rsidR="00522031">
          <w:rPr>
            <w:rStyle w:val="Hyperlink"/>
            <w:noProof/>
            <w:rtl/>
          </w:rPr>
          <w:fldChar w:fldCharType="separate"/>
        </w:r>
        <w:r w:rsidR="00522031">
          <w:rPr>
            <w:noProof/>
            <w:webHidden/>
          </w:rPr>
          <w:t>2</w:t>
        </w:r>
        <w:r w:rsidR="00522031">
          <w:rPr>
            <w:rStyle w:val="Hyperlink"/>
            <w:noProof/>
            <w:rtl/>
          </w:rPr>
          <w:fldChar w:fldCharType="end"/>
        </w:r>
      </w:hyperlink>
    </w:p>
    <w:p w:rsidR="00522031" w:rsidRDefault="009F20AA" w:rsidP="0052203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181" w:history="1"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مباحث</w:t>
        </w:r>
        <w:r w:rsidR="00522031" w:rsidRPr="006F0C0D">
          <w:rPr>
            <w:rStyle w:val="Hyperlink"/>
            <w:rFonts w:ascii="IRBadr" w:hAnsi="IRBadr" w:cs="IRBadr" w:hint="cs"/>
            <w:noProof/>
            <w:rtl/>
          </w:rPr>
          <w:t>ی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قبال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تعز</w:t>
        </w:r>
        <w:r w:rsidR="00522031" w:rsidRPr="006F0C0D">
          <w:rPr>
            <w:rStyle w:val="Hyperlink"/>
            <w:rFonts w:ascii="IRBadr" w:hAnsi="IRBadr" w:cs="IRBadr" w:hint="cs"/>
            <w:noProof/>
            <w:rtl/>
          </w:rPr>
          <w:t>ی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522031">
          <w:rPr>
            <w:noProof/>
            <w:webHidden/>
          </w:rPr>
          <w:tab/>
        </w:r>
        <w:r w:rsidR="00522031">
          <w:rPr>
            <w:rStyle w:val="Hyperlink"/>
            <w:noProof/>
            <w:rtl/>
          </w:rPr>
          <w:fldChar w:fldCharType="begin"/>
        </w:r>
        <w:r w:rsidR="00522031">
          <w:rPr>
            <w:noProof/>
            <w:webHidden/>
          </w:rPr>
          <w:instrText xml:space="preserve"> PAGEREF _Toc428360181 \h </w:instrText>
        </w:r>
        <w:r w:rsidR="00522031">
          <w:rPr>
            <w:rStyle w:val="Hyperlink"/>
            <w:noProof/>
            <w:rtl/>
          </w:rPr>
        </w:r>
        <w:r w:rsidR="00522031">
          <w:rPr>
            <w:rStyle w:val="Hyperlink"/>
            <w:noProof/>
            <w:rtl/>
          </w:rPr>
          <w:fldChar w:fldCharType="separate"/>
        </w:r>
        <w:r w:rsidR="00522031">
          <w:rPr>
            <w:noProof/>
            <w:webHidden/>
          </w:rPr>
          <w:t>2</w:t>
        </w:r>
        <w:r w:rsidR="00522031">
          <w:rPr>
            <w:rStyle w:val="Hyperlink"/>
            <w:noProof/>
            <w:rtl/>
          </w:rPr>
          <w:fldChar w:fldCharType="end"/>
        </w:r>
      </w:hyperlink>
    </w:p>
    <w:p w:rsidR="00522031" w:rsidRDefault="009F20AA" w:rsidP="0052203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182" w:history="1"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اقرار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دون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الاربعة</w:t>
        </w:r>
        <w:r w:rsidR="00522031">
          <w:rPr>
            <w:noProof/>
            <w:webHidden/>
          </w:rPr>
          <w:tab/>
        </w:r>
        <w:r w:rsidR="00522031">
          <w:rPr>
            <w:rStyle w:val="Hyperlink"/>
            <w:noProof/>
            <w:rtl/>
          </w:rPr>
          <w:fldChar w:fldCharType="begin"/>
        </w:r>
        <w:r w:rsidR="00522031">
          <w:rPr>
            <w:noProof/>
            <w:webHidden/>
          </w:rPr>
          <w:instrText xml:space="preserve"> PAGEREF _Toc428360182 \h </w:instrText>
        </w:r>
        <w:r w:rsidR="00522031">
          <w:rPr>
            <w:rStyle w:val="Hyperlink"/>
            <w:noProof/>
            <w:rtl/>
          </w:rPr>
        </w:r>
        <w:r w:rsidR="00522031">
          <w:rPr>
            <w:rStyle w:val="Hyperlink"/>
            <w:noProof/>
            <w:rtl/>
          </w:rPr>
          <w:fldChar w:fldCharType="separate"/>
        </w:r>
        <w:r w:rsidR="00522031">
          <w:rPr>
            <w:noProof/>
            <w:webHidden/>
          </w:rPr>
          <w:t>2</w:t>
        </w:r>
        <w:r w:rsidR="00522031">
          <w:rPr>
            <w:rStyle w:val="Hyperlink"/>
            <w:noProof/>
            <w:rtl/>
          </w:rPr>
          <w:fldChar w:fldCharType="end"/>
        </w:r>
      </w:hyperlink>
    </w:p>
    <w:p w:rsidR="00522031" w:rsidRDefault="009F20AA" w:rsidP="0052203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183" w:history="1"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ازاله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بکارت</w:t>
        </w:r>
        <w:r w:rsidR="00522031">
          <w:rPr>
            <w:noProof/>
            <w:webHidden/>
          </w:rPr>
          <w:tab/>
        </w:r>
        <w:r w:rsidR="00522031">
          <w:rPr>
            <w:rStyle w:val="Hyperlink"/>
            <w:noProof/>
            <w:rtl/>
          </w:rPr>
          <w:fldChar w:fldCharType="begin"/>
        </w:r>
        <w:r w:rsidR="00522031">
          <w:rPr>
            <w:noProof/>
            <w:webHidden/>
          </w:rPr>
          <w:instrText xml:space="preserve"> PAGEREF _Toc428360183 \h </w:instrText>
        </w:r>
        <w:r w:rsidR="00522031">
          <w:rPr>
            <w:rStyle w:val="Hyperlink"/>
            <w:noProof/>
            <w:rtl/>
          </w:rPr>
        </w:r>
        <w:r w:rsidR="00522031">
          <w:rPr>
            <w:rStyle w:val="Hyperlink"/>
            <w:noProof/>
            <w:rtl/>
          </w:rPr>
          <w:fldChar w:fldCharType="separate"/>
        </w:r>
        <w:r w:rsidR="00522031">
          <w:rPr>
            <w:noProof/>
            <w:webHidden/>
          </w:rPr>
          <w:t>2</w:t>
        </w:r>
        <w:r w:rsidR="00522031">
          <w:rPr>
            <w:rStyle w:val="Hyperlink"/>
            <w:noProof/>
            <w:rtl/>
          </w:rPr>
          <w:fldChar w:fldCharType="end"/>
        </w:r>
      </w:hyperlink>
    </w:p>
    <w:p w:rsidR="00522031" w:rsidRDefault="009F20AA" w:rsidP="0052203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184" w:history="1"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522031">
          <w:rPr>
            <w:noProof/>
            <w:webHidden/>
          </w:rPr>
          <w:tab/>
        </w:r>
        <w:r w:rsidR="00522031">
          <w:rPr>
            <w:rStyle w:val="Hyperlink"/>
            <w:noProof/>
            <w:rtl/>
          </w:rPr>
          <w:fldChar w:fldCharType="begin"/>
        </w:r>
        <w:r w:rsidR="00522031">
          <w:rPr>
            <w:noProof/>
            <w:webHidden/>
          </w:rPr>
          <w:instrText xml:space="preserve"> PAGEREF _Toc428360184 \h </w:instrText>
        </w:r>
        <w:r w:rsidR="00522031">
          <w:rPr>
            <w:rStyle w:val="Hyperlink"/>
            <w:noProof/>
            <w:rtl/>
          </w:rPr>
        </w:r>
        <w:r w:rsidR="00522031">
          <w:rPr>
            <w:rStyle w:val="Hyperlink"/>
            <w:noProof/>
            <w:rtl/>
          </w:rPr>
          <w:fldChar w:fldCharType="separate"/>
        </w:r>
        <w:r w:rsidR="00522031">
          <w:rPr>
            <w:noProof/>
            <w:webHidden/>
          </w:rPr>
          <w:t>3</w:t>
        </w:r>
        <w:r w:rsidR="00522031">
          <w:rPr>
            <w:rStyle w:val="Hyperlink"/>
            <w:noProof/>
            <w:rtl/>
          </w:rPr>
          <w:fldChar w:fldCharType="end"/>
        </w:r>
      </w:hyperlink>
    </w:p>
    <w:p w:rsidR="00522031" w:rsidRDefault="009F20AA" w:rsidP="00522031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185" w:history="1"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ب</w:t>
        </w:r>
        <w:r w:rsidR="00522031" w:rsidRPr="006F0C0D">
          <w:rPr>
            <w:rStyle w:val="Hyperlink"/>
            <w:rFonts w:ascii="IRBadr" w:hAnsi="IRBadr" w:cs="IRBadr" w:hint="cs"/>
            <w:noProof/>
            <w:rtl/>
          </w:rPr>
          <w:t>ی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ع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خمر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با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علم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به‌حکم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522031" w:rsidRPr="006F0C0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522031" w:rsidRPr="006F0C0D">
          <w:rPr>
            <w:rStyle w:val="Hyperlink"/>
            <w:rFonts w:ascii="IRBadr" w:hAnsi="IRBadr" w:cs="IRBadr" w:hint="eastAsia"/>
            <w:noProof/>
            <w:rtl/>
          </w:rPr>
          <w:t>موضوع</w:t>
        </w:r>
        <w:r w:rsidR="00522031">
          <w:rPr>
            <w:noProof/>
            <w:webHidden/>
          </w:rPr>
          <w:tab/>
        </w:r>
        <w:r w:rsidR="00522031">
          <w:rPr>
            <w:rStyle w:val="Hyperlink"/>
            <w:noProof/>
            <w:rtl/>
          </w:rPr>
          <w:fldChar w:fldCharType="begin"/>
        </w:r>
        <w:r w:rsidR="00522031">
          <w:rPr>
            <w:noProof/>
            <w:webHidden/>
          </w:rPr>
          <w:instrText xml:space="preserve"> PAGEREF _Toc428360185 \h </w:instrText>
        </w:r>
        <w:r w:rsidR="00522031">
          <w:rPr>
            <w:rStyle w:val="Hyperlink"/>
            <w:noProof/>
            <w:rtl/>
          </w:rPr>
        </w:r>
        <w:r w:rsidR="00522031">
          <w:rPr>
            <w:rStyle w:val="Hyperlink"/>
            <w:noProof/>
            <w:rtl/>
          </w:rPr>
          <w:fldChar w:fldCharType="separate"/>
        </w:r>
        <w:r w:rsidR="00522031">
          <w:rPr>
            <w:noProof/>
            <w:webHidden/>
          </w:rPr>
          <w:t>3</w:t>
        </w:r>
        <w:r w:rsidR="00522031">
          <w:rPr>
            <w:rStyle w:val="Hyperlink"/>
            <w:noProof/>
            <w:rtl/>
          </w:rPr>
          <w:fldChar w:fldCharType="end"/>
        </w:r>
      </w:hyperlink>
    </w:p>
    <w:p w:rsidR="00522031" w:rsidRPr="00522031" w:rsidRDefault="00522031" w:rsidP="00522031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55668" w:rsidRDefault="00855668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360178"/>
      <w:r>
        <w:rPr>
          <w:rFonts w:ascii="IRBadr" w:hAnsi="IRBadr" w:cs="IRBadr"/>
          <w:rtl/>
        </w:rPr>
        <w:br w:type="page"/>
      </w:r>
    </w:p>
    <w:p w:rsidR="009817D6" w:rsidRPr="00522031" w:rsidRDefault="009817D6" w:rsidP="009817D6">
      <w:pPr>
        <w:pStyle w:val="Heading1"/>
        <w:rPr>
          <w:rFonts w:ascii="IRBadr" w:hAnsi="IRBadr" w:cs="IRBadr"/>
          <w:rtl/>
        </w:rPr>
      </w:pPr>
      <w:r w:rsidRPr="00522031">
        <w:rPr>
          <w:rFonts w:ascii="IRBadr" w:hAnsi="IRBadr" w:cs="IRBadr"/>
          <w:rtl/>
        </w:rPr>
        <w:lastRenderedPageBreak/>
        <w:t>دفاع عن النفس</w:t>
      </w:r>
      <w:bookmarkEnd w:id="0"/>
    </w:p>
    <w:p w:rsidR="009817D6" w:rsidRPr="00522031" w:rsidRDefault="00C12CB2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مجازاتی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که در شرع قرار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به دو صورت است گاهی برای آن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محدوده‌ای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مقرر گشته و گاهی نیز به نحو تعزیر است.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این میان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مجازاتی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نیز تحت عنوان دفاع از نفس قرار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 که اگر به فرد تعرضی صورت گرفت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از خود دفاع کند، جهاد و مراتب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و نهی از منکر نیز در همین راستاست.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در این میان تأدیباتی که در شریعت در نظر گرفته در قبال معلم یا پدر و غیره در همین چارچوب است.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درواقع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و نهی از منکر و جهاد دفاع از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ارزش‌های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دینی محسوب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17D6" w:rsidRPr="00522031" w:rsidRDefault="009817D6" w:rsidP="009817D6">
      <w:pPr>
        <w:pStyle w:val="Heading2"/>
        <w:rPr>
          <w:rFonts w:ascii="IRBadr" w:hAnsi="IRBadr" w:cs="IRBadr"/>
          <w:rtl/>
        </w:rPr>
      </w:pPr>
      <w:bookmarkStart w:id="1" w:name="_Toc428360179"/>
      <w:r w:rsidRPr="00522031">
        <w:rPr>
          <w:rFonts w:ascii="IRBadr" w:hAnsi="IRBadr" w:cs="IRBadr"/>
          <w:rtl/>
        </w:rPr>
        <w:t>کتب فقهی در ادوار مختلف</w:t>
      </w:r>
      <w:bookmarkEnd w:id="1"/>
    </w:p>
    <w:p w:rsidR="009817D6" w:rsidRPr="00522031" w:rsidRDefault="00C12CB2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بحث حدود در کتب فقهی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به‌هم‌ریختگی‌هایی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وجود دارد که نیازمند تبویب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مناسب‌تری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این راستا کتبی همچون مبانی تکمله المنهاج است که مبنای آن همان منهاج الصالحین آقای حکیم است که مبنای آن نیز تبصره مرحوم علامه است.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پس‌ازآن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منهاج توسعه یافت و </w:t>
      </w:r>
      <w:r w:rsidR="003015A6">
        <w:rPr>
          <w:rFonts w:ascii="IRBadr" w:hAnsi="IRBadr" w:cs="IRBadr"/>
          <w:sz w:val="28"/>
          <w:szCs w:val="28"/>
          <w:rtl/>
          <w:lang w:bidi="fa-IR"/>
        </w:rPr>
        <w:t>تحریرالوسیله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نوشته شد که تکمیل همان وسیلة النجاة آقای اصفهانی است.</w:t>
      </w:r>
    </w:p>
    <w:p w:rsidR="009817D6" w:rsidRPr="00522031" w:rsidRDefault="009817D6" w:rsidP="009817D6">
      <w:pPr>
        <w:pStyle w:val="Heading3"/>
        <w:rPr>
          <w:rFonts w:ascii="IRBadr" w:hAnsi="IRBadr" w:cs="IRBadr"/>
          <w:rtl/>
        </w:rPr>
      </w:pPr>
      <w:bookmarkStart w:id="2" w:name="_Toc428360180"/>
      <w:r w:rsidRPr="00522031">
        <w:rPr>
          <w:rFonts w:ascii="IRBadr" w:hAnsi="IRBadr" w:cs="IRBadr"/>
          <w:rtl/>
        </w:rPr>
        <w:t>مرور بحث تعزیر</w:t>
      </w:r>
      <w:bookmarkEnd w:id="2"/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تاکنون در قبال بحث تعزیر مطالبی بیان شد که؛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محدوده تعزیر مطلق معاصی است یا اینکه به کبائر اختصاص دارد؟ و گفته شد که تعزیر امری است که دون الحد است و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که حد نباشد، او ثابت خواهد بود. بحث دیگر این است که آیا تعزیر جزء وظایف حاکم است، یا جزء اختیارات او؟ جواب این است که جزء وظایف اوست،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حداقل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در حقوق الله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9817D6" w:rsidRPr="00522031" w:rsidRDefault="009817D6" w:rsidP="009817D6">
      <w:pPr>
        <w:pStyle w:val="Heading3"/>
        <w:rPr>
          <w:rFonts w:ascii="IRBadr" w:hAnsi="IRBadr" w:cs="IRBadr"/>
          <w:rtl/>
        </w:rPr>
      </w:pPr>
      <w:bookmarkStart w:id="3" w:name="_Toc428360181"/>
      <w:r w:rsidRPr="00522031">
        <w:rPr>
          <w:rFonts w:ascii="IRBadr" w:hAnsi="IRBadr" w:cs="IRBadr"/>
          <w:rtl/>
        </w:rPr>
        <w:t>مباحثی در قبال تعزیر</w:t>
      </w:r>
      <w:bookmarkEnd w:id="3"/>
    </w:p>
    <w:p w:rsidR="009817D6" w:rsidRPr="00522031" w:rsidRDefault="00C12CB2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خصوصیات دیگر تعزیر این است که کمیت آن در موارد مختلف متفاوت است،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سؤالی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که در اینجا وجود دارد،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 که در کمیت نیز متفاوت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در خصوص تعزیر سه دسته از روایات وجود دارد؛ قسم اول مواردی است که در آن کیفیت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نوع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دوم موردی است که تنها به اصل تعزیر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اما کم و کیف آن ذکر نشده است.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نوع سوم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 که در روایات گفته نشده اما ما بر اساس قاعده تعزیرات و اختیارات حاکم بدان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اعتقادداریم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17D6" w:rsidRPr="003015A6" w:rsidRDefault="009817D6" w:rsidP="003015A6">
      <w:pPr>
        <w:pStyle w:val="Heading4"/>
        <w:rPr>
          <w:rtl/>
        </w:rPr>
      </w:pPr>
      <w:bookmarkStart w:id="4" w:name="_Toc428360182"/>
      <w:r w:rsidRPr="003015A6">
        <w:rPr>
          <w:rtl/>
        </w:rPr>
        <w:lastRenderedPageBreak/>
        <w:t>اقرار دون الاربعة</w:t>
      </w:r>
      <w:bookmarkEnd w:id="4"/>
    </w:p>
    <w:p w:rsidR="009817D6" w:rsidRPr="00522031" w:rsidRDefault="003015A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بعد این است که؛</w:t>
      </w:r>
    </w:p>
    <w:p w:rsidR="009817D6" w:rsidRPr="00522031" w:rsidRDefault="009817D6" w:rsidP="009817D6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«لو أقر دون الأربع لم 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حد، و للحا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 تعز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ره بما 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52203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اقرار چهار بار عند الحاکم برای اینکه خودش را پاک کند، گناه نیست، ولی کراهت شدیده دارد.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طرفی دیگر اگر این اقرار به نحوی باشد که موجب ثبوت حد نشود،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حرمت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</w:p>
    <w:p w:rsidR="009817D6" w:rsidRPr="00522031" w:rsidRDefault="009817D6" w:rsidP="003015A6">
      <w:pPr>
        <w:pStyle w:val="Heading4"/>
        <w:rPr>
          <w:rtl/>
        </w:rPr>
      </w:pPr>
      <w:bookmarkStart w:id="6" w:name="_Toc428360183"/>
      <w:r w:rsidRPr="00522031">
        <w:rPr>
          <w:rtl/>
        </w:rPr>
        <w:t>ازاله بکارت</w:t>
      </w:r>
      <w:bookmarkEnd w:id="6"/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3015A6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در مورد کسی است که بکارت کسی را نه با زنا بلکه با شیوه دیگری زائل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.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حرمت این عمل مشخص است.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در آیه شریفه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«فَمَنِ </w:t>
      </w:r>
      <w:r w:rsidR="00C12CB2" w:rsidRPr="00522031">
        <w:rPr>
          <w:rFonts w:ascii="IRBadr" w:hAnsi="IRBadr" w:cs="IRBadr"/>
          <w:b/>
          <w:bCs/>
          <w:sz w:val="28"/>
          <w:szCs w:val="28"/>
          <w:rtl/>
          <w:lang w:bidi="fa-IR"/>
        </w:rPr>
        <w:t>ابْتَغی</w:t>
      </w:r>
      <w:r w:rsidRPr="0052203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وَراءَ ذلِ</w:t>
      </w:r>
      <w:r w:rsidR="00C12CB2" w:rsidRPr="0052203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52203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فَأُولئِ</w:t>
      </w:r>
      <w:r w:rsidR="00C12CB2" w:rsidRPr="0052203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52203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هُمُ العادُونَ»</w:t>
      </w:r>
      <w:r w:rsidRPr="0052203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در این </w:t>
      </w:r>
      <w:r w:rsidR="003015A6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دو قول است </w:t>
      </w:r>
      <w:r w:rsidR="003015A6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یک قول تعزیر و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دیگری حد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که هشتاد ضربه شلاق است.</w:t>
      </w:r>
    </w:p>
    <w:p w:rsidR="009817D6" w:rsidRPr="00522031" w:rsidRDefault="009817D6" w:rsidP="003015A6">
      <w:pPr>
        <w:pStyle w:val="Heading4"/>
        <w:rPr>
          <w:rtl/>
        </w:rPr>
      </w:pPr>
      <w:bookmarkStart w:id="7" w:name="_Toc428360184"/>
      <w:r w:rsidRPr="00522031">
        <w:rPr>
          <w:rtl/>
        </w:rPr>
        <w:t>مستندات بحث</w:t>
      </w:r>
      <w:bookmarkEnd w:id="7"/>
    </w:p>
    <w:p w:rsidR="009817D6" w:rsidRPr="00522031" w:rsidRDefault="00C12CB2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مستندات این بحث روایت عبدالله بن سنان است که در جلد هیجده، باب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سی‌ونه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از ابواب حد زنا 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9817D6"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9817D6" w:rsidRPr="00522031" w:rsidRDefault="009817D6" w:rsidP="009817D6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نَجْرَانَ عَنْ عَبْدِ اللَّهِ بْنِ سِنَانٍ عَنْ أَبِ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امْرَأَةٍ افْتَضَّتْ جَارِ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ةً بِ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دِهَا قَالَ عَلَ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مَهْرُهَا وَ تُجْلَدُ ثَمَانِ</w:t>
      </w:r>
      <w:r w:rsidR="00C12CB2"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2203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نَ.» </w:t>
      </w:r>
      <w:r w:rsidRPr="0052203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این زنی که بکارت دیگری را از بین برد، هشتاد شلاق می‌خورد و در </w:t>
      </w:r>
      <w:r w:rsidR="003015A6">
        <w:rPr>
          <w:rFonts w:ascii="IRBadr" w:hAnsi="IRBadr" w:cs="IRBadr"/>
          <w:sz w:val="28"/>
          <w:szCs w:val="28"/>
          <w:rtl/>
          <w:lang w:bidi="fa-IR"/>
        </w:rPr>
        <w:t>صحیحه‌ای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دیگر همین مضمون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 که نظر مشهور نیز همین است.</w:t>
      </w:r>
    </w:p>
    <w:p w:rsidR="009817D6" w:rsidRPr="00522031" w:rsidRDefault="009817D6" w:rsidP="003015A6">
      <w:pPr>
        <w:pStyle w:val="Heading4"/>
        <w:rPr>
          <w:rtl/>
        </w:rPr>
      </w:pPr>
      <w:bookmarkStart w:id="8" w:name="_Toc428360185"/>
      <w:r w:rsidRPr="00522031">
        <w:rPr>
          <w:rtl/>
        </w:rPr>
        <w:t xml:space="preserve">بیع خمر با علم </w:t>
      </w:r>
      <w:r w:rsidR="00C12CB2" w:rsidRPr="00522031">
        <w:rPr>
          <w:rtl/>
        </w:rPr>
        <w:t>به‌حکم</w:t>
      </w:r>
      <w:r w:rsidRPr="00522031">
        <w:rPr>
          <w:rtl/>
        </w:rPr>
        <w:t xml:space="preserve"> و موضوع</w:t>
      </w:r>
      <w:bookmarkEnd w:id="8"/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lastRenderedPageBreak/>
        <w:t>مسئله دیگر این است که؛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اگر کسی خمری را با عام به موضوع و حکم فروخت،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درصورتی‌که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استحلال او منجر به انکار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ضروری‌ای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از دین منجر شود،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مرتد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 و الا اگر بر اساس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لاابالی‌گری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بوده باشد،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بر او جاری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>.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3015A6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از مواردی است که در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قبالان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دلیل خاص وجود ندارد.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البته در این زمینه مباحثی نیز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 که این </w:t>
      </w:r>
      <w:r w:rsidR="003015A6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ذیل آیه حرمت تعاون بر اثم </w:t>
      </w:r>
      <w:r w:rsidR="00C12CB2" w:rsidRPr="00522031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522031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2203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817D6" w:rsidRPr="00522031" w:rsidRDefault="009817D6" w:rsidP="009817D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522031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522031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AA" w:rsidRDefault="009F20AA" w:rsidP="000D5800">
      <w:pPr>
        <w:spacing w:after="0" w:line="240" w:lineRule="auto"/>
      </w:pPr>
      <w:r>
        <w:separator/>
      </w:r>
    </w:p>
  </w:endnote>
  <w:endnote w:type="continuationSeparator" w:id="0">
    <w:p w:rsidR="009F20AA" w:rsidRDefault="009F20A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AA" w:rsidRDefault="009F20AA" w:rsidP="00522031">
      <w:pPr>
        <w:bidi/>
        <w:spacing w:after="0" w:line="240" w:lineRule="auto"/>
      </w:pPr>
      <w:r>
        <w:separator/>
      </w:r>
    </w:p>
  </w:footnote>
  <w:footnote w:type="continuationSeparator" w:id="0">
    <w:p w:rsidR="009F20AA" w:rsidRDefault="009F20AA" w:rsidP="000D5800">
      <w:pPr>
        <w:spacing w:after="0" w:line="240" w:lineRule="auto"/>
      </w:pPr>
      <w:r>
        <w:continuationSeparator/>
      </w:r>
    </w:p>
  </w:footnote>
  <w:footnote w:id="1">
    <w:p w:rsidR="009817D6" w:rsidRDefault="009817D6" w:rsidP="009817D6">
      <w:pPr>
        <w:pStyle w:val="FootnoteText"/>
        <w:rPr>
          <w:rFonts w:cstheme="minorBidi"/>
          <w:rtl/>
        </w:rPr>
      </w:pPr>
      <w:bookmarkStart w:id="5" w:name="_GoBack"/>
      <w:bookmarkEnd w:id="5"/>
      <w:r>
        <w:rPr>
          <w:rStyle w:val="FootnoteReference"/>
        </w:rPr>
        <w:footnoteRef/>
      </w:r>
      <w:r>
        <w:t xml:space="preserve"> </w:t>
      </w:r>
      <w:r w:rsidR="003015A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تحر</w:t>
      </w:r>
      <w:r w:rsidR="00C12C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ر الوس</w:t>
      </w:r>
      <w:r w:rsidR="00C12C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لة؛ </w:t>
      </w:r>
      <w:r w:rsidR="00C12CB2">
        <w:rPr>
          <w:rFonts w:ascii="Noor_Titr" w:hAnsi="Noor_Titr" w:cs="B Badr"/>
          <w:color w:val="000000" w:themeColor="text1"/>
          <w:rtl/>
        </w:rPr>
        <w:t>ج 2</w:t>
      </w:r>
      <w:r>
        <w:rPr>
          <w:rFonts w:ascii="Noor_Titr" w:hAnsi="Noor_Titr" w:cs="B Badr" w:hint="cs"/>
          <w:color w:val="000000" w:themeColor="text1"/>
          <w:rtl/>
        </w:rPr>
        <w:t>، ص: 469</w:t>
      </w:r>
      <w:r w:rsidR="003015A6">
        <w:rPr>
          <w:rFonts w:cstheme="minorBidi" w:hint="cs"/>
          <w:rtl/>
        </w:rPr>
        <w:t>.</w:t>
      </w:r>
    </w:p>
  </w:footnote>
  <w:footnote w:id="2">
    <w:p w:rsidR="009817D6" w:rsidRDefault="009817D6" w:rsidP="009817D6">
      <w:pPr>
        <w:pStyle w:val="FootnoteText"/>
        <w:rPr>
          <w:rtl/>
        </w:rPr>
      </w:pPr>
      <w:r>
        <w:rPr>
          <w:rStyle w:val="FootnoteReference"/>
        </w:rPr>
        <w:footnoteRef/>
      </w:r>
      <w:r w:rsidR="00C12CB2">
        <w:t xml:space="preserve"> </w:t>
      </w:r>
      <w:r w:rsidR="003015A6">
        <w:rPr>
          <w:rFonts w:cs="B Badr" w:hint="cs"/>
          <w:rtl/>
        </w:rPr>
        <w:t xml:space="preserve">- </w:t>
      </w:r>
      <w:r>
        <w:rPr>
          <w:rFonts w:cs="B Badr" w:hint="cs"/>
          <w:rtl/>
        </w:rPr>
        <w:t>مؤمنون/7</w:t>
      </w:r>
      <w:r w:rsidR="003015A6">
        <w:rPr>
          <w:rFonts w:hint="cs"/>
          <w:rtl/>
        </w:rPr>
        <w:t>.</w:t>
      </w:r>
    </w:p>
  </w:footnote>
  <w:footnote w:id="3">
    <w:p w:rsidR="009817D6" w:rsidRDefault="009817D6" w:rsidP="009817D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015A6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C12CB2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C12C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12CB2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12CB2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203</w:t>
      </w:r>
      <w:r w:rsidR="003015A6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855668" w:rsidRDefault="000D5800" w:rsidP="00855668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4EBB27F" wp14:editId="312B6E8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2B0079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  <w:lang w:bidi="fa-IR"/>
      </w:rPr>
      <w:drawing>
        <wp:inline distT="0" distB="0" distL="0" distR="0" wp14:anchorId="6A3C1A51" wp14:editId="1ECA772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817D6">
      <w:rPr>
        <w:rFonts w:ascii="IranNastaliq" w:hAnsi="IranNastaliq" w:cs="IranNastaliq" w:hint="cs"/>
        <w:sz w:val="40"/>
        <w:szCs w:val="40"/>
        <w:rtl/>
        <w:lang w:bidi="fa-IR"/>
      </w:rPr>
      <w:t>955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741E2"/>
    <w:rsid w:val="002914BD"/>
    <w:rsid w:val="00297263"/>
    <w:rsid w:val="002C56FD"/>
    <w:rsid w:val="002D49E4"/>
    <w:rsid w:val="002E450B"/>
    <w:rsid w:val="002E73F9"/>
    <w:rsid w:val="002F05B9"/>
    <w:rsid w:val="003015A6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22031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27867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5668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817D6"/>
    <w:rsid w:val="009B46BC"/>
    <w:rsid w:val="009B61C3"/>
    <w:rsid w:val="009C7B4F"/>
    <w:rsid w:val="009F20AA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E5550"/>
    <w:rsid w:val="00BF3D67"/>
    <w:rsid w:val="00C01A20"/>
    <w:rsid w:val="00C12BC5"/>
    <w:rsid w:val="00C12CB2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2390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105B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  <w:rsid w:val="00FE108C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015A6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015A6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2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015A6"/>
    <w:pPr>
      <w:ind w:firstLine="0"/>
      <w:outlineLvl w:val="3"/>
    </w:pPr>
    <w:rPr>
      <w:rFonts w:ascii="IRBadr" w:hAnsi="IRBadr" w:cs="IRBadr"/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015A6"/>
    <w:rPr>
      <w:rFonts w:ascii="IRBadr" w:eastAsia="2  Lotus" w:hAnsi="IRBadr" w:cs="IR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2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B369-295F-4426-BB16-55725AB3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103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58</cp:revision>
  <dcterms:created xsi:type="dcterms:W3CDTF">2014-12-20T10:23:00Z</dcterms:created>
  <dcterms:modified xsi:type="dcterms:W3CDTF">2015-08-27T06:27:00Z</dcterms:modified>
</cp:coreProperties>
</file>