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1" w:rsidRDefault="00E5565B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494450" w:rsidRDefault="00494450" w:rsidP="004944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494450" w:rsidRDefault="00494450" w:rsidP="0049445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360247" w:history="1">
        <w:r w:rsidRPr="007F10E3">
          <w:rPr>
            <w:rStyle w:val="Hyperlink"/>
            <w:rFonts w:ascii="IRBadr" w:hAnsi="IRBadr" w:cs="IRBadr" w:hint="eastAsia"/>
            <w:noProof/>
            <w:rtl/>
          </w:rPr>
          <w:t>نبش</w:t>
        </w:r>
        <w:r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7F10E3">
          <w:rPr>
            <w:rStyle w:val="Hyperlink"/>
            <w:rFonts w:ascii="IRBadr" w:hAnsi="IRBadr" w:cs="IRBadr" w:hint="eastAsia"/>
            <w:noProof/>
            <w:rtl/>
          </w:rPr>
          <w:t>قبر</w:t>
        </w:r>
        <w:r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7F10E3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7F10E3">
          <w:rPr>
            <w:rStyle w:val="Hyperlink"/>
            <w:rFonts w:ascii="IRBadr" w:hAnsi="IRBadr" w:cs="IRBadr" w:hint="eastAsia"/>
            <w:noProof/>
            <w:rtl/>
          </w:rPr>
          <w:t>عدم</w:t>
        </w:r>
        <w:r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7F10E3">
          <w:rPr>
            <w:rStyle w:val="Hyperlink"/>
            <w:rFonts w:ascii="IRBadr" w:hAnsi="IRBadr" w:cs="IRBadr" w:hint="eastAsia"/>
            <w:noProof/>
            <w:rtl/>
          </w:rPr>
          <w:t>سرقت</w:t>
        </w:r>
        <w:r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7F10E3">
          <w:rPr>
            <w:rStyle w:val="Hyperlink"/>
            <w:rFonts w:ascii="IRBadr" w:hAnsi="IRBadr" w:cs="IRBadr" w:hint="eastAsia"/>
            <w:noProof/>
            <w:rtl/>
          </w:rPr>
          <w:t>کفن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_Toc428360247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48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تعز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سرقت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مقطوع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ال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_Toc428360248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2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49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موارد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گر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تعز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_Toc428360249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2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50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_Toc428360250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3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51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_Toc428360251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3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52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_Toc428360252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3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53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سوم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_Toc428360253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3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54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هتک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حرمت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مسجد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الحرام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_Toc428360254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4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55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مستند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_Toc428360255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4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56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_Toc428360256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4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57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_Toc428360257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5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58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شهادت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زور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_Toc428360258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5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59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مستند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_Toc428360259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6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60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ورود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بر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فراش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امراة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اجنب</w:t>
        </w:r>
        <w:r w:rsidR="00494450" w:rsidRPr="007F10E3">
          <w:rPr>
            <w:rStyle w:val="Hyperlink"/>
            <w:rFonts w:ascii="IRBadr" w:hAnsi="IRBadr" w:cs="IRBadr" w:hint="cs"/>
            <w:noProof/>
            <w:rtl/>
          </w:rPr>
          <w:t>ی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ه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_Toc428360260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6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Default="006C1BC2" w:rsidP="00494450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61" w:history="1"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مستند</w:t>
        </w:r>
        <w:r w:rsidR="00494450" w:rsidRPr="007F10E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494450" w:rsidRPr="007F10E3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494450">
          <w:rPr>
            <w:noProof/>
            <w:webHidden/>
          </w:rPr>
          <w:tab/>
        </w:r>
        <w:r w:rsidR="00494450">
          <w:rPr>
            <w:rStyle w:val="Hyperlink"/>
            <w:noProof/>
            <w:rtl/>
          </w:rPr>
          <w:fldChar w:fldCharType="begin"/>
        </w:r>
        <w:r w:rsidR="00494450">
          <w:rPr>
            <w:noProof/>
            <w:webHidden/>
          </w:rPr>
          <w:instrText xml:space="preserve"> PAGEREF _Toc428360261 \h </w:instrText>
        </w:r>
        <w:r w:rsidR="00494450">
          <w:rPr>
            <w:rStyle w:val="Hyperlink"/>
            <w:noProof/>
            <w:rtl/>
          </w:rPr>
        </w:r>
        <w:r w:rsidR="00494450">
          <w:rPr>
            <w:rStyle w:val="Hyperlink"/>
            <w:noProof/>
            <w:rtl/>
          </w:rPr>
          <w:fldChar w:fldCharType="separate"/>
        </w:r>
        <w:r w:rsidR="00494450">
          <w:rPr>
            <w:noProof/>
            <w:webHidden/>
          </w:rPr>
          <w:t>6</w:t>
        </w:r>
        <w:r w:rsidR="00494450">
          <w:rPr>
            <w:rStyle w:val="Hyperlink"/>
            <w:noProof/>
            <w:rtl/>
          </w:rPr>
          <w:fldChar w:fldCharType="end"/>
        </w:r>
      </w:hyperlink>
    </w:p>
    <w:p w:rsidR="00494450" w:rsidRPr="00494450" w:rsidRDefault="00494450" w:rsidP="004944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26CDA" w:rsidRDefault="00326CD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360247"/>
      <w:r>
        <w:rPr>
          <w:rFonts w:ascii="IRBadr" w:hAnsi="IRBadr" w:cs="IRBadr"/>
          <w:rtl/>
        </w:rPr>
        <w:br w:type="page"/>
      </w:r>
    </w:p>
    <w:p w:rsidR="001C3D91" w:rsidRPr="00494450" w:rsidRDefault="001C3D91" w:rsidP="001C3D91">
      <w:pPr>
        <w:pStyle w:val="Heading1"/>
        <w:rPr>
          <w:rFonts w:ascii="IRBadr" w:hAnsi="IRBadr" w:cs="IRBadr"/>
          <w:rtl/>
        </w:rPr>
      </w:pPr>
      <w:r w:rsidRPr="00494450">
        <w:rPr>
          <w:rFonts w:ascii="IRBadr" w:hAnsi="IRBadr" w:cs="IRBadr"/>
          <w:rtl/>
        </w:rPr>
        <w:lastRenderedPageBreak/>
        <w:t>نبش قبر و عدم سرقت کفن</w:t>
      </w:r>
      <w:bookmarkEnd w:id="0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مسئله دویست و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هفتادوهشت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این است که؛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«و لو نبش و لم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سرق ال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فن لم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قطع و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عزر، و 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 القبر حرزا لغ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ال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فن، فلو جعل مع الم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 ش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 ف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القبر فنبش و أخرجه لم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قطع به عل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الأحوط، و لو ت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رر منه النبش من غ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أخذ ال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فن و هرب من السلطان ق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قتل، و ف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 تردد»‌ 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اگر نبش قبر کند ولی کفن را ندزدد، در اینجا تعزیر می‌شود. این از مواردی است که نص خاصی در موردش نیست. و ثبوت تعزیر یا بر اساس این است که در همه معاصی تعزیر ثابت است یا اینکه نبش قبر چون هتک مؤمن است معصیت کبیره به شمار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که بعید نیست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1C3D91" w:rsidRPr="00494450" w:rsidRDefault="001C3D91" w:rsidP="001C3D91">
      <w:pPr>
        <w:pStyle w:val="Heading1"/>
        <w:rPr>
          <w:rFonts w:ascii="IRBadr" w:hAnsi="IRBadr" w:cs="IRBadr"/>
          <w:rtl/>
        </w:rPr>
      </w:pPr>
      <w:bookmarkStart w:id="2" w:name="_Toc428360248"/>
      <w:r w:rsidRPr="00494450">
        <w:rPr>
          <w:rFonts w:ascii="IRBadr" w:hAnsi="IRBadr" w:cs="IRBadr"/>
          <w:rtl/>
        </w:rPr>
        <w:t>تعزیر در سرقت مقطوع الید</w:t>
      </w:r>
      <w:bookmarkEnd w:id="2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مسئله دویست و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هشتادوهشت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این است که؛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«لو سرق و لا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 له أو سرق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ثانیاً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 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س له رجل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سر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سقط عنه الحد و عزره الامام حسب ما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راه من المصلحة.» 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1C3D91" w:rsidRPr="00494450" w:rsidRDefault="00B629D5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بعد این است که اگر فردی دزدی کرده ولی یا دست راست ندارد و یا بار دوم سرقت اوست.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طرفی دست چپ نیز نداشته است.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برخی اقوال نوبت به تعزیر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می‌رسید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از باب اینکه معصیت کبیره است.</w:t>
      </w:r>
    </w:p>
    <w:p w:rsidR="001C3D91" w:rsidRPr="00494450" w:rsidRDefault="001C3D91" w:rsidP="001C3D91">
      <w:pPr>
        <w:pStyle w:val="Heading1"/>
        <w:rPr>
          <w:rFonts w:ascii="IRBadr" w:hAnsi="IRBadr" w:cs="IRBadr"/>
          <w:rtl/>
        </w:rPr>
      </w:pPr>
      <w:bookmarkStart w:id="3" w:name="_Toc428360249"/>
      <w:r w:rsidRPr="00494450">
        <w:rPr>
          <w:rFonts w:ascii="IRBadr" w:hAnsi="IRBadr" w:cs="IRBadr"/>
          <w:rtl/>
        </w:rPr>
        <w:t>موارد دیگری از تعزیر</w:t>
      </w:r>
      <w:bookmarkEnd w:id="3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>متن مسئله این است که؛</w:t>
      </w:r>
    </w:p>
    <w:p w:rsidR="001C3D91" w:rsidRPr="00494450" w:rsidRDefault="00E5565B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(مسألة 289): قد تقدّم اختصاص قطع ال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 بمن سرق من حرز، و أمّا المستلب الذ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أخذ المال جهراً أو المختلس الذ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أخذ المال خف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 و مع الإغفال و المحتال الذ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أخذ المال بالتزو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و الرسائل ال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اذبة فل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 عل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هم حدّ و إنّما 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عزّرون»</w:t>
      </w:r>
      <w:r w:rsidR="001C3D91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موارد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کلاه‌برداری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یعنی اخذ مال با اغفال از دیگران یا سرقت با جعل اسناد و موارد دیگری که شرایط قطع ید را ندارد،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تعزیر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C3D91" w:rsidRPr="00494450" w:rsidRDefault="001C3D91" w:rsidP="001C3D91">
      <w:pPr>
        <w:pStyle w:val="Heading1"/>
        <w:rPr>
          <w:rFonts w:ascii="IRBadr" w:hAnsi="IRBadr" w:cs="IRBadr"/>
          <w:rtl/>
        </w:rPr>
      </w:pPr>
      <w:bookmarkStart w:id="4" w:name="_Toc428360250"/>
      <w:r w:rsidRPr="00494450">
        <w:rPr>
          <w:rFonts w:ascii="IRBadr" w:hAnsi="IRBadr" w:cs="IRBadr"/>
          <w:rtl/>
        </w:rPr>
        <w:t>مستندات بحث</w:t>
      </w:r>
      <w:bookmarkEnd w:id="4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در اینجا تعزیر طبق قاعده کلی نیست، بلکه بر اساس روایات خاصه است که روایاتش در همان باب دوازده ابواب حد سرقت، صفحه پانصد و دو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C3D91" w:rsidRPr="00494450" w:rsidRDefault="001C3D91" w:rsidP="001C3D91">
      <w:pPr>
        <w:pStyle w:val="Heading1"/>
        <w:rPr>
          <w:rFonts w:ascii="IRBadr" w:hAnsi="IRBadr" w:cs="IRBadr"/>
          <w:rtl/>
        </w:rPr>
      </w:pPr>
      <w:bookmarkStart w:id="5" w:name="_Toc428360251"/>
      <w:r w:rsidRPr="00494450">
        <w:rPr>
          <w:rFonts w:ascii="IRBadr" w:hAnsi="IRBadr" w:cs="IRBadr"/>
          <w:rtl/>
        </w:rPr>
        <w:t>روایت اول</w:t>
      </w:r>
      <w:bookmarkEnd w:id="5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>این روایت کاملاً معتبره است؛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«مُحَمَّدُ بْنُ عَلِ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الْحُسَ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بِإِسْنَادِهِ إِلَ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قَضَا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أَمِ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الْمُؤْمِنِ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ع قَالَ: لَا قَطْعَ 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الدَّغَارَةِ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الْمُعْلَنَةِ وَ هِ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الْخُلْسَةُ- وَ 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 أُعَزِّرُهُ وَ 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 أَقْطَعُ مَنْ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أْخُذُ وَ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خْفِ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1C3D91" w:rsidRPr="00494450" w:rsidRDefault="001C3D91" w:rsidP="001C3D91">
      <w:pPr>
        <w:pStyle w:val="Heading1"/>
        <w:rPr>
          <w:rFonts w:ascii="IRBadr" w:hAnsi="IRBadr" w:cs="IRBadr"/>
          <w:rtl/>
        </w:rPr>
      </w:pPr>
      <w:bookmarkStart w:id="6" w:name="_Toc428360252"/>
      <w:r w:rsidRPr="00494450">
        <w:rPr>
          <w:rFonts w:ascii="IRBadr" w:hAnsi="IRBadr" w:cs="IRBadr"/>
          <w:rtl/>
        </w:rPr>
        <w:t>روایت دوم</w:t>
      </w:r>
      <w:bookmarkEnd w:id="6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>روایت ذیل نیز ظاهراً معتبره است؛</w:t>
      </w:r>
    </w:p>
    <w:p w:rsidR="001C3D91" w:rsidRPr="00494450" w:rsidRDefault="001C3D91" w:rsidP="001C3D91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عَلِ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وَ عِدَّةٌ مِنْ أَصْحَابِنَا عَنْ سَهْلِ بْنِ زِ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ادٍ جَمِ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عاً عَنِ ابْنِ أَبِ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نَجْرَانَ عَنْ عَاصِمِ بْنِ حُمَ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عَنْ مُحَمَّدِ بْنِ قَ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سٍ عَنْ أَبِ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قَضَ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أَمِ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اخْتَلَسَ ثَوْباً مِنَ السُّوقِ فَقَالُوا قَدْ سَرَقَ هَذَا الرَّجُلُ فَقَالَ إِنِّ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لَا أَقْطَعُ فِ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الدَّغَارَةِ الْمُعْلَنَةِ وَ لَ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 أَقْطَعُ 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دَ مَنْ 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أْخُذُ ثُمَّ 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خْفِ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.</w:t>
      </w:r>
      <w:r w:rsidR="00E5565B" w:rsidRPr="0049445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494450">
        <w:rPr>
          <w:rFonts w:ascii="IRBadr" w:hAnsi="IRBadr" w:cs="IRBadr"/>
          <w:b/>
          <w:bCs/>
          <w:color w:val="000000" w:themeColor="text1"/>
          <w:sz w:val="28"/>
          <w:szCs w:val="28"/>
          <w:vertAlign w:val="superscript"/>
          <w:rtl/>
        </w:rPr>
        <w:footnoteReference w:id="5"/>
      </w:r>
    </w:p>
    <w:p w:rsidR="001C3D91" w:rsidRPr="00494450" w:rsidRDefault="001C3D91" w:rsidP="001C3D91">
      <w:pPr>
        <w:pStyle w:val="Heading1"/>
        <w:rPr>
          <w:rFonts w:ascii="IRBadr" w:hAnsi="IRBadr" w:cs="IRBadr"/>
          <w:rtl/>
        </w:rPr>
      </w:pPr>
      <w:bookmarkStart w:id="7" w:name="_Toc428360253"/>
      <w:r w:rsidRPr="00494450">
        <w:rPr>
          <w:rFonts w:ascii="IRBadr" w:hAnsi="IRBadr" w:cs="IRBadr"/>
          <w:rtl/>
        </w:rPr>
        <w:lastRenderedPageBreak/>
        <w:t>روایت سوم</w:t>
      </w:r>
      <w:bookmarkEnd w:id="7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>این روایت نیز معتبره است.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«بِهَذَا الْإِسْنَادِ أَنَّ أَمِ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 الْمُؤْمِنِ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ع أُتِ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بِرَجُلٍ اخْتَلَسَ دُرَّةً مِنْ أُذُنِ جَارِ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ةٍ فَقَالَ هَذِهِ الزَّعَارَّةُ الْمُعْلَنَةُ فَضَرَبَهُ وَ حَبَسَهُ.» 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6"/>
      </w:r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>در این مقام روایات عمومی نیز وجود داشت که سابقاً به آن اشاراتی شد؛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«إِنَّ اللَّهَ جَعَلَ لِ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لِّ شَ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حَدّاً وَ جَعَلَ عَلَ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لِّ مَنْ تَعَدَّ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حَدّاً مِنْ حُدُودِ اللَّهِ عَزَّ وَ جَلَّ حَدّاً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7"/>
      </w:r>
    </w:p>
    <w:p w:rsidR="001C3D91" w:rsidRPr="00494450" w:rsidRDefault="001C3D91" w:rsidP="001C3D91">
      <w:pPr>
        <w:pStyle w:val="Heading2"/>
        <w:rPr>
          <w:rFonts w:ascii="IRBadr" w:hAnsi="IRBadr" w:cs="IRBadr"/>
          <w:rtl/>
        </w:rPr>
      </w:pPr>
      <w:bookmarkStart w:id="8" w:name="_Toc428360254"/>
      <w:r w:rsidRPr="00494450">
        <w:rPr>
          <w:rFonts w:ascii="IRBadr" w:hAnsi="IRBadr" w:cs="IRBadr"/>
          <w:rtl/>
        </w:rPr>
        <w:t>هتک حرمت مسجد الحرام</w:t>
      </w:r>
      <w:bookmarkEnd w:id="8"/>
    </w:p>
    <w:p w:rsidR="001C3D91" w:rsidRPr="00494450" w:rsidRDefault="00B629D5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دیگر در قبال فردی است که عمداً در خانه خدا یا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مسجدالحرام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بول و غائطی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نعوذبالله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انجام دهد؛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«من بال أو تغوط ف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عبة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متعمداً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أخرج منها و من الحرم، و ضربت عنقه، و من بال أو تغوط ف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المسجد الحرام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متعمداً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ضرب ضربا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شدیداً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8"/>
      </w:r>
    </w:p>
    <w:p w:rsidR="001C3D91" w:rsidRPr="00494450" w:rsidRDefault="001C3D91" w:rsidP="001C3D91">
      <w:pPr>
        <w:pStyle w:val="Heading2"/>
        <w:rPr>
          <w:rFonts w:ascii="IRBadr" w:hAnsi="IRBadr" w:cs="IRBadr"/>
          <w:rtl/>
        </w:rPr>
      </w:pPr>
      <w:bookmarkStart w:id="9" w:name="_Toc428360255"/>
      <w:r w:rsidRPr="00494450">
        <w:rPr>
          <w:rFonts w:ascii="IRBadr" w:hAnsi="IRBadr" w:cs="IRBadr"/>
          <w:rtl/>
        </w:rPr>
        <w:t>مستند بحث</w:t>
      </w:r>
      <w:bookmarkEnd w:id="9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روایت این </w:t>
      </w:r>
      <w:r w:rsidR="00B629D5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در باب شش از ابواب بقیه الحدود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بود.</w:t>
      </w:r>
    </w:p>
    <w:p w:rsidR="001C3D91" w:rsidRPr="00494450" w:rsidRDefault="001C3D91" w:rsidP="001C3D91">
      <w:pPr>
        <w:pStyle w:val="Heading2"/>
        <w:rPr>
          <w:rFonts w:ascii="IRBadr" w:hAnsi="IRBadr" w:cs="IRBadr"/>
          <w:rtl/>
        </w:rPr>
      </w:pPr>
      <w:bookmarkStart w:id="10" w:name="_Toc428360256"/>
      <w:r w:rsidRPr="00494450">
        <w:rPr>
          <w:rFonts w:ascii="IRBadr" w:hAnsi="IRBadr" w:cs="IRBadr"/>
          <w:rtl/>
        </w:rPr>
        <w:t>روایت اول</w:t>
      </w:r>
      <w:bookmarkEnd w:id="10"/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عَنْهُ عَنِ الْعَبَّاسِ بْنِ مَعْرُوفٍ عَنْ عَبْدِ الرَّحْمَنِ بْنِ أَبِ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نَجْرَانَ عَنْ حَمَّادِ بْنِ عُثْمَانَ عَنْ عَبْدِ الرَّحِ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 الْقَصِ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عَنْ أَبِ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ثِ الْإِسْلَامِ وَ الْإِ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مَانِ قَالَ- وَ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 بِمَنْزِلَةِ مَنْ دَخَلَ الْحَرَمَ- ثُمَّ دَخَلَ الْ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عْبَةَ وَ أَحْدَثَ 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عْبَةِ حَدَثاً- فَأُخْرِجَ عَنِ الْ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عْبَةِ وَ عَنِ الْحَرَمِ- فَضُرِبَتْ عُنُقُهُ وَ صَارَ إِلَ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النَّارِ.»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9"/>
      </w:r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منتها در قبال سایر مساجد نیز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این حکم را با ادله عامی که وجود دارد،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دست آورد.</w:t>
      </w:r>
    </w:p>
    <w:p w:rsidR="001C3D91" w:rsidRPr="00494450" w:rsidRDefault="001C3D91" w:rsidP="001C3D91">
      <w:pPr>
        <w:pStyle w:val="Heading2"/>
        <w:rPr>
          <w:rFonts w:ascii="IRBadr" w:hAnsi="IRBadr" w:cs="IRBadr"/>
          <w:rtl/>
        </w:rPr>
      </w:pPr>
      <w:bookmarkStart w:id="11" w:name="_Toc428360257"/>
      <w:r w:rsidRPr="00494450">
        <w:rPr>
          <w:rFonts w:ascii="IRBadr" w:hAnsi="IRBadr" w:cs="IRBadr"/>
          <w:rtl/>
        </w:rPr>
        <w:t>روایت دوم</w:t>
      </w:r>
      <w:bookmarkEnd w:id="11"/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«عِدَّةٌ مِنْ أَصْحَابِنَا عَنْ أَحْمَدَ بْنِ مُحَمَّدِ بْنِ خَالِدٍ عَنِ الْحَسَنِ بْنِ مَحْبُوبٍ عَنْ أَبِ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الصَّبَّاحِ الْ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نَانِ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قَالَ: قُلْتُ لِأَبِ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أَ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هُمَا أَفْضَلُ الْإِ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مَانُ أَوِ الْإِسْلَامُ فَإِنَّ مَنْ قِبَلَنَا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قُولُونَ إِنَّ الْإِسْلَامَ أَفْضَلُ مِنَ الْإِ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مَانِ فَقَالَ الْإِ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مَانُ أَرْفَعُ مِنَ الْإِسْلَامِ قُلْتُ فَأَوْجِدْنِ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ذَلِ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 مَا تَقُولُ 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مَنْ أَحْدَثَ 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الْمَسْجِدِ الْحَرَامِ مُتَعَمِّداً قَالَ قُلْتُ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ضْرَبُ ضَرْباً شَدِ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داً قَالَ أَصَبْتَ قَالَ فَمَا تَقُولُ 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مَنْ أَحْدَثَ 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عْبَةِ مُتَعَمِّداً قُلْتُ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قْتَلُ قَالَ أَصَبْتَ أَ لَا تَرَ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أَنَّ الْ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عْبَةَ أَفْضَلُ مِنَ الْمَسْجِدِ وَ أَنَّ الْ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عْبَةَ تَشْرَ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الْمَسْجِدَ وَ الْمَسْجِدُ لَا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شْرَ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عْبَةَ وَ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ذَلِ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مَانُ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شْرَ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الْإِسْلَامَ وَ الْإِسْلَامُ لَا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شْرَ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مَانَ.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0"/>
      </w:r>
    </w:p>
    <w:p w:rsidR="001C3D91" w:rsidRPr="00494450" w:rsidRDefault="00E5565B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کسی که با تعمد این فعل را در کعبه یا 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>مسجدالحرام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برای هتک انجام 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1C3D91" w:rsidRPr="00494450">
        <w:rPr>
          <w:rFonts w:ascii="IRBadr" w:hAnsi="IRBadr" w:cs="IRBadr"/>
          <w:sz w:val="28"/>
          <w:szCs w:val="28"/>
          <w:rtl/>
          <w:lang w:bidi="fa-IR"/>
        </w:rPr>
        <w:t xml:space="preserve"> حکمش قتل است.</w:t>
      </w:r>
    </w:p>
    <w:p w:rsidR="001C3D91" w:rsidRPr="00494450" w:rsidRDefault="001C3D91" w:rsidP="001C3D91">
      <w:pPr>
        <w:pStyle w:val="Heading3"/>
        <w:rPr>
          <w:rFonts w:ascii="IRBadr" w:hAnsi="IRBadr" w:cs="IRBadr"/>
          <w:rtl/>
        </w:rPr>
      </w:pPr>
      <w:bookmarkStart w:id="12" w:name="_Toc428360258"/>
      <w:r w:rsidRPr="00494450">
        <w:rPr>
          <w:rFonts w:ascii="IRBadr" w:hAnsi="IRBadr" w:cs="IRBadr"/>
          <w:rtl/>
        </w:rPr>
        <w:t>شهادت زور</w:t>
      </w:r>
      <w:bookmarkEnd w:id="12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مسئله دویست و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نودوسه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هم از مواردی است که دلیل خاص بر تعزیر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«من شهد شهادة زور جلده الامام حسبما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راه، و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طاف به 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عرفه الناس، و لا تقبل شهادته إلا إذا تاب و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ذب نفسه عل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رؤوس الأشهاد.»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1"/>
      </w:r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اگر کسی شهادت باطل داد و آشکار شد از عدالت ساقط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و برای او تعزیر وجود دارد.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 xml:space="preserve"> آیه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شریفه نیز در قبال او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1C3D91" w:rsidRPr="00494450" w:rsidRDefault="001C3D91" w:rsidP="001C3D91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«وَ الَّذِ</w:t>
      </w:r>
      <w:r w:rsidR="00E5565B"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E5565B"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رْمُونَ الْمُحْصَناتِ ثُمَّ لَمْ </w:t>
      </w:r>
      <w:r w:rsidR="00E5565B"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أْتُوا بِأَرْبَعَةِ شُهَداءَ فَاجْلِدُوهُمْ ثَمانِ</w:t>
      </w:r>
      <w:r w:rsidR="00E5565B"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نَ جَلْدَةً وَ لا تَقْبَلُوا لَهُمْ شَهادَةً أَبَداً وَ أُولئِ</w:t>
      </w:r>
      <w:r w:rsidR="00E5565B"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هُمُ الْفاسِقُونَ إِلَّا الَّذِ</w:t>
      </w:r>
      <w:r w:rsidR="00E5565B"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نَ تابُوا مِنْ بَعْدِ ذلِ</w:t>
      </w:r>
      <w:r w:rsidR="00E5565B"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أَصْلَحُوا فَإِنَّ اللَّهَ غَفُورٌ رَحِ</w:t>
      </w:r>
      <w:r w:rsidR="00E5565B"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494450">
        <w:rPr>
          <w:rFonts w:ascii="IRBadr" w:hAnsi="IRBadr" w:cs="IRBadr"/>
          <w:b/>
          <w:bCs/>
          <w:sz w:val="28"/>
          <w:szCs w:val="28"/>
          <w:rtl/>
          <w:lang w:bidi="fa-IR"/>
        </w:rPr>
        <w:t>م»</w:t>
      </w:r>
      <w:r w:rsidRPr="00494450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2"/>
      </w:r>
    </w:p>
    <w:p w:rsidR="001C3D91" w:rsidRPr="00494450" w:rsidRDefault="001C3D91" w:rsidP="001C3D91">
      <w:pPr>
        <w:pStyle w:val="Heading3"/>
        <w:rPr>
          <w:rFonts w:ascii="IRBadr" w:hAnsi="IRBadr" w:cs="IRBadr"/>
          <w:rtl/>
        </w:rPr>
      </w:pPr>
      <w:bookmarkStart w:id="13" w:name="_Toc428360259"/>
      <w:r w:rsidRPr="00494450">
        <w:rPr>
          <w:rFonts w:ascii="IRBadr" w:hAnsi="IRBadr" w:cs="IRBadr"/>
          <w:rtl/>
        </w:rPr>
        <w:lastRenderedPageBreak/>
        <w:t>مستند بحث</w:t>
      </w:r>
      <w:bookmarkEnd w:id="13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در این زمینه روایاتی وجود دارد که در ابواب بقیه الحدود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است؛ این روایت معتبره است؛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مُحَمَّدِ بْنِ عِ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ونُسَ عَنْ زُرْعَةَ عَنْ سَمَاعَةَ قَالَ: سَأَلْتُهُ عَنْ شُهُودِ الزُّورِ قَالَ فَقَالَ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جْلَدُونَ حَدّاً 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 لَهُ وَقْتٌ وَ ذَلِ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الْإِمَامِ وَ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طَافُ بِهِمْ حَتَّ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عْرِفَهُمُ النَّاسُ وَ أَمَّا قَوْلُ اللَّهِ عَزَّ وَ جَلَّ وَ لا تَقْبَلُوا لَهُمْ شَهادَةً أَبَداً ... إِلَّا الَّذِ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تابُوا قَالَ قُلْتُ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فَ تُعْرَفُ تَوْبَتُهُ قَالَ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ذِبُ نَفْسَهُ عَلَ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رُءُوسِ النَّاسِ حَتَّ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ضْرَبَ وَ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سْتَغْفِرَ رَبَّهُ وَ إِذَا فَعَلَ ذَلِ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فَقَدْ ظَهَرَتْ تَوْبَتُهُ.»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3"/>
      </w:r>
    </w:p>
    <w:p w:rsidR="001C3D91" w:rsidRPr="00B629D5" w:rsidRDefault="001C3D91" w:rsidP="00B629D5">
      <w:pPr>
        <w:pStyle w:val="Heading4"/>
        <w:rPr>
          <w:rtl/>
        </w:rPr>
      </w:pPr>
      <w:bookmarkStart w:id="14" w:name="_Toc428360260"/>
      <w:r w:rsidRPr="00B629D5">
        <w:rPr>
          <w:rtl/>
        </w:rPr>
        <w:t>ورود بر فراش امراة اجنبیه</w:t>
      </w:r>
      <w:bookmarkEnd w:id="14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مسئله دویست و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نودوچهار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است این است که؛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«إذا دخل رجل تحت فراش امرأة أجنب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 عزر.»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4"/>
      </w:r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>اگر فردی بر حریم خواب زن اجنبی وارد شد،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ندارد ولی چون معصیت کبیره است باید تعزیر شود.</w:t>
      </w:r>
    </w:p>
    <w:p w:rsidR="001C3D91" w:rsidRPr="00494450" w:rsidRDefault="001C3D91" w:rsidP="00B629D5">
      <w:pPr>
        <w:pStyle w:val="Heading4"/>
        <w:rPr>
          <w:rtl/>
        </w:rPr>
      </w:pPr>
      <w:bookmarkStart w:id="15" w:name="_Toc428360261"/>
      <w:r w:rsidRPr="00494450">
        <w:rPr>
          <w:rtl/>
        </w:rPr>
        <w:t>مستند بحث</w:t>
      </w:r>
      <w:bookmarkEnd w:id="15"/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در این زمینه روایت معتبره طلحة بن زید وجود دارد که در باب چهلم از ابواب حد زنا </w:t>
      </w:r>
      <w:r w:rsidR="00E5565B" w:rsidRPr="0049445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494450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«عَنْهُ عَنْ مُحَمَّدِ بْنِ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طَلْحَةَ بْنِ زَ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جَعْفَرٍ عَنْ أَبِ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 أَنَّهُ رُفِعَ إِلَ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أَمِ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الْمُؤْمِنِ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ع رَجُلٌ وُجِدَ تَحْتَ فِرَاشِ امْرَأَةٍ فِ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بیت‌ها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فَقَالَ هَلْ رَأَ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تُمْ غَ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 ذَلِ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قَالُوا لَا قَالَ فَانْطَلِقُوا بِهِ إِلَ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مَخْرُأَةٍ فَمَرِّغُوهُ عَلَ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هَا ظَهْراً لِبَطْنٍ ثُمَّ خَلُّوا سَبِ</w:t>
      </w:r>
      <w:r w:rsidR="00E5565B"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لَهُ.»</w:t>
      </w:r>
      <w:r w:rsidRPr="0049445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5"/>
      </w:r>
    </w:p>
    <w:p w:rsidR="001C3D91" w:rsidRPr="00494450" w:rsidRDefault="001C3D91" w:rsidP="001C3D9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rtl/>
          <w:lang w:bidi="fa-IR"/>
        </w:rPr>
      </w:pPr>
    </w:p>
    <w:p w:rsidR="001C3D91" w:rsidRPr="00494450" w:rsidRDefault="001C3D91" w:rsidP="001C3D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494450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494450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C2" w:rsidRDefault="006C1BC2" w:rsidP="000D5800">
      <w:pPr>
        <w:spacing w:after="0" w:line="240" w:lineRule="auto"/>
      </w:pPr>
      <w:r>
        <w:separator/>
      </w:r>
    </w:p>
  </w:endnote>
  <w:endnote w:type="continuationSeparator" w:id="0">
    <w:p w:rsidR="006C1BC2" w:rsidRDefault="006C1BC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C2" w:rsidRDefault="006C1BC2" w:rsidP="00494450">
      <w:pPr>
        <w:bidi/>
        <w:spacing w:after="0" w:line="240" w:lineRule="auto"/>
      </w:pPr>
      <w:r>
        <w:separator/>
      </w:r>
    </w:p>
  </w:footnote>
  <w:footnote w:type="continuationSeparator" w:id="0">
    <w:p w:rsidR="006C1BC2" w:rsidRDefault="006C1BC2" w:rsidP="000D5800">
      <w:pPr>
        <w:spacing w:after="0" w:line="240" w:lineRule="auto"/>
      </w:pPr>
      <w:r>
        <w:continuationSeparator/>
      </w:r>
    </w:p>
  </w:footnote>
  <w:footnote w:id="1">
    <w:p w:rsidR="001C3D91" w:rsidRDefault="001C3D91" w:rsidP="001C3D91">
      <w:pPr>
        <w:pStyle w:val="FootnoteText"/>
        <w:rPr>
          <w:rtl/>
        </w:rPr>
      </w:pPr>
      <w:bookmarkStart w:id="1" w:name="_GoBack"/>
      <w:bookmarkEnd w:id="1"/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1256D3">
        <w:rPr>
          <w:rFonts w:ascii="Noor_Titr" w:hAnsi="Noor_Titr" w:cs="B Badr" w:hint="cs"/>
          <w:color w:val="000000" w:themeColor="text1"/>
          <w:rtl/>
        </w:rPr>
        <w:t>تحر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1256D3">
        <w:rPr>
          <w:rFonts w:ascii="Noor_Titr" w:hAnsi="Noor_Titr" w:cs="B Badr" w:hint="cs"/>
          <w:color w:val="000000" w:themeColor="text1"/>
          <w:rtl/>
        </w:rPr>
        <w:t>ر الوس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1256D3">
        <w:rPr>
          <w:rFonts w:ascii="Noor_Titr" w:hAnsi="Noor_Titr" w:cs="B Badr" w:hint="cs"/>
          <w:color w:val="000000" w:themeColor="text1"/>
          <w:rtl/>
        </w:rPr>
        <w:t xml:space="preserve">لة؛ </w:t>
      </w:r>
      <w:r w:rsidR="00E5565B">
        <w:rPr>
          <w:rFonts w:ascii="Noor_Titr" w:hAnsi="Noor_Titr" w:cs="B Badr"/>
          <w:color w:val="000000" w:themeColor="text1"/>
          <w:rtl/>
        </w:rPr>
        <w:t>ج 2</w:t>
      </w:r>
      <w:r w:rsidRPr="001256D3">
        <w:rPr>
          <w:rFonts w:ascii="Noor_Titr" w:hAnsi="Noor_Titr" w:cs="B Badr" w:hint="cs"/>
          <w:color w:val="000000" w:themeColor="text1"/>
          <w:rtl/>
        </w:rPr>
        <w:t>، ص: 487</w:t>
      </w:r>
      <w:r w:rsidR="00B629D5">
        <w:rPr>
          <w:rFonts w:hint="cs"/>
          <w:rtl/>
        </w:rPr>
        <w:t>.</w:t>
      </w:r>
    </w:p>
  </w:footnote>
  <w:footnote w:id="2">
    <w:p w:rsidR="001C3D91" w:rsidRDefault="001C3D91" w:rsidP="001C3D9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1256D3">
        <w:rPr>
          <w:rFonts w:ascii="Noor_Titr" w:hAnsi="Noor_Titr" w:cs="B Badr" w:hint="cs"/>
          <w:color w:val="000000" w:themeColor="text1"/>
          <w:rtl/>
        </w:rPr>
        <w:t>ت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1256D3">
        <w:rPr>
          <w:rFonts w:ascii="Noor_Titr" w:hAnsi="Noor_Titr" w:cs="B Badr" w:hint="cs"/>
          <w:color w:val="000000" w:themeColor="text1"/>
          <w:rtl/>
        </w:rPr>
        <w:t>ملة المنهاج؛ ص: 56</w:t>
      </w:r>
      <w:r w:rsidR="00B629D5">
        <w:rPr>
          <w:rFonts w:hint="cs"/>
          <w:rtl/>
        </w:rPr>
        <w:t>.</w:t>
      </w:r>
    </w:p>
  </w:footnote>
  <w:footnote w:id="3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1256D3">
        <w:rPr>
          <w:rFonts w:ascii="Noor_Titr" w:hAnsi="Noor_Titr" w:cs="B Badr" w:hint="cs"/>
          <w:color w:val="000000" w:themeColor="text1"/>
          <w:rtl/>
        </w:rPr>
        <w:t>مبان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1256D3">
        <w:rPr>
          <w:rFonts w:ascii="Noor_Titr" w:hAnsi="Noor_Titr" w:cs="B Badr" w:hint="cs"/>
          <w:color w:val="000000" w:themeColor="text1"/>
          <w:rtl/>
        </w:rPr>
        <w:t xml:space="preserve"> ت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1256D3">
        <w:rPr>
          <w:rFonts w:ascii="Noor_Titr" w:hAnsi="Noor_Titr" w:cs="B Badr" w:hint="cs"/>
          <w:color w:val="000000" w:themeColor="text1"/>
          <w:rtl/>
        </w:rPr>
        <w:t xml:space="preserve">ملة المنهاج؛ </w:t>
      </w:r>
      <w:r w:rsidR="00E5565B">
        <w:rPr>
          <w:rFonts w:ascii="Noor_Titr" w:hAnsi="Noor_Titr" w:cs="B Badr"/>
          <w:color w:val="000000" w:themeColor="text1"/>
          <w:rtl/>
        </w:rPr>
        <w:t>ج 41 موسوعة</w:t>
      </w:r>
      <w:r w:rsidRPr="001256D3">
        <w:rPr>
          <w:rFonts w:ascii="Noor_Titr" w:hAnsi="Noor_Titr" w:cs="B Badr" w:hint="cs"/>
          <w:color w:val="000000" w:themeColor="text1"/>
          <w:rtl/>
        </w:rPr>
        <w:t>، ص: 414</w:t>
      </w:r>
      <w:r w:rsidR="00B629D5">
        <w:rPr>
          <w:rFonts w:hint="cs"/>
          <w:rtl/>
        </w:rPr>
        <w:t>.</w:t>
      </w:r>
    </w:p>
  </w:footnote>
  <w:footnote w:id="4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1256D3">
        <w:rPr>
          <w:rFonts w:ascii="Noor_Titr" w:hAnsi="Noor_Titr" w:cs="B Badr" w:hint="cs"/>
          <w:color w:val="000000" w:themeColor="text1"/>
          <w:rtl/>
        </w:rPr>
        <w:t>وسائل الش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1256D3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E5565B">
        <w:rPr>
          <w:rFonts w:ascii="Noor_Titr" w:hAnsi="Noor_Titr" w:cs="B Badr"/>
          <w:color w:val="000000" w:themeColor="text1"/>
          <w:rtl/>
        </w:rPr>
        <w:t>ج 28</w:t>
      </w:r>
      <w:r w:rsidRPr="001256D3">
        <w:rPr>
          <w:rFonts w:ascii="Noor_Titr" w:hAnsi="Noor_Titr" w:cs="B Badr" w:hint="cs"/>
          <w:color w:val="000000" w:themeColor="text1"/>
          <w:rtl/>
        </w:rPr>
        <w:t>، ص: 269</w:t>
      </w:r>
      <w:r w:rsidR="00B629D5">
        <w:rPr>
          <w:rFonts w:hint="cs"/>
          <w:rtl/>
        </w:rPr>
        <w:t>.</w:t>
      </w:r>
    </w:p>
  </w:footnote>
  <w:footnote w:id="5">
    <w:p w:rsidR="001C3D91" w:rsidRDefault="001C3D91" w:rsidP="001C3D9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1256D3">
        <w:rPr>
          <w:rFonts w:ascii="Noor_Titr" w:hAnsi="Noor_Titr" w:cs="B Badr" w:hint="cs"/>
          <w:color w:val="000000" w:themeColor="text1"/>
          <w:rtl/>
        </w:rPr>
        <w:t>ال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1256D3">
        <w:rPr>
          <w:rFonts w:ascii="Noor_Titr" w:hAnsi="Noor_Titr" w:cs="B Badr" w:hint="cs"/>
          <w:color w:val="000000" w:themeColor="text1"/>
          <w:rtl/>
        </w:rPr>
        <w:t>اف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1256D3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1256D3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E5565B">
        <w:rPr>
          <w:rFonts w:ascii="Noor_Titr" w:hAnsi="Noor_Titr" w:cs="B Badr"/>
          <w:color w:val="000000" w:themeColor="text1"/>
          <w:rtl/>
        </w:rPr>
        <w:t>ج 7</w:t>
      </w:r>
      <w:r w:rsidRPr="001256D3">
        <w:rPr>
          <w:rFonts w:ascii="Noor_Titr" w:hAnsi="Noor_Titr" w:cs="B Badr" w:hint="cs"/>
          <w:color w:val="000000" w:themeColor="text1"/>
          <w:rtl/>
        </w:rPr>
        <w:t>، ص: 226</w:t>
      </w:r>
      <w:r w:rsidR="00B629D5">
        <w:rPr>
          <w:rFonts w:hint="cs"/>
          <w:rtl/>
        </w:rPr>
        <w:t>.</w:t>
      </w:r>
    </w:p>
  </w:footnote>
  <w:footnote w:id="6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1256D3">
        <w:rPr>
          <w:rFonts w:ascii="Noor_Titr" w:hAnsi="Noor_Titr" w:cs="B Badr" w:hint="cs"/>
          <w:color w:val="000000" w:themeColor="text1"/>
          <w:rtl/>
        </w:rPr>
        <w:t>تهذ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1256D3">
        <w:rPr>
          <w:rFonts w:ascii="Noor_Titr" w:hAnsi="Noor_Titr" w:cs="B Badr" w:hint="cs"/>
          <w:color w:val="000000" w:themeColor="text1"/>
          <w:rtl/>
        </w:rPr>
        <w:t>ب الأح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1256D3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E5565B">
        <w:rPr>
          <w:rFonts w:ascii="Noor_Titr" w:hAnsi="Noor_Titr" w:cs="B Badr"/>
          <w:color w:val="000000" w:themeColor="text1"/>
          <w:rtl/>
        </w:rPr>
        <w:t>ج 10</w:t>
      </w:r>
      <w:r w:rsidRPr="001256D3">
        <w:rPr>
          <w:rFonts w:ascii="Noor_Titr" w:hAnsi="Noor_Titr" w:cs="B Badr" w:hint="cs"/>
          <w:color w:val="000000" w:themeColor="text1"/>
          <w:rtl/>
        </w:rPr>
        <w:t>، ص: 114</w:t>
      </w:r>
      <w:r w:rsidR="00B629D5">
        <w:rPr>
          <w:rFonts w:hint="cs"/>
          <w:rtl/>
        </w:rPr>
        <w:t>.</w:t>
      </w:r>
    </w:p>
  </w:footnote>
  <w:footnote w:id="7">
    <w:p w:rsidR="001C3D91" w:rsidRDefault="001C3D91" w:rsidP="001C3D9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B138EC">
        <w:rPr>
          <w:rFonts w:ascii="Noor_Titr" w:hAnsi="Noor_Titr" w:cs="B Badr" w:hint="cs"/>
          <w:color w:val="000000" w:themeColor="text1"/>
          <w:rtl/>
        </w:rPr>
        <w:t>ال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B138EC">
        <w:rPr>
          <w:rFonts w:ascii="Noor_Titr" w:hAnsi="Noor_Titr" w:cs="B Badr" w:hint="cs"/>
          <w:color w:val="000000" w:themeColor="text1"/>
          <w:rtl/>
        </w:rPr>
        <w:t>اف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B138EC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B138EC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E5565B">
        <w:rPr>
          <w:rFonts w:ascii="Noor_Titr" w:hAnsi="Noor_Titr" w:cs="B Badr"/>
          <w:color w:val="000000" w:themeColor="text1"/>
          <w:rtl/>
        </w:rPr>
        <w:t>ج 7</w:t>
      </w:r>
      <w:r w:rsidRPr="00B138EC">
        <w:rPr>
          <w:rFonts w:ascii="Noor_Titr" w:hAnsi="Noor_Titr" w:cs="B Badr" w:hint="cs"/>
          <w:color w:val="000000" w:themeColor="text1"/>
          <w:rtl/>
        </w:rPr>
        <w:t>، ص: 174</w:t>
      </w:r>
      <w:r w:rsidR="00B629D5">
        <w:rPr>
          <w:rFonts w:hint="cs"/>
          <w:rtl/>
        </w:rPr>
        <w:t>.</w:t>
      </w:r>
    </w:p>
  </w:footnote>
  <w:footnote w:id="8">
    <w:p w:rsidR="001C3D91" w:rsidRDefault="001C3D91" w:rsidP="001C3D9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B138EC">
        <w:rPr>
          <w:rFonts w:ascii="Noor_Titr" w:hAnsi="Noor_Titr" w:cs="B Badr" w:hint="cs"/>
          <w:color w:val="000000" w:themeColor="text1"/>
          <w:rtl/>
        </w:rPr>
        <w:t>ت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B138EC">
        <w:rPr>
          <w:rFonts w:ascii="Noor_Titr" w:hAnsi="Noor_Titr" w:cs="B Badr" w:hint="cs"/>
          <w:color w:val="000000" w:themeColor="text1"/>
          <w:rtl/>
        </w:rPr>
        <w:t>ملة المنهاج؛ ص: 56</w:t>
      </w:r>
      <w:r w:rsidR="00B629D5">
        <w:rPr>
          <w:rFonts w:hint="cs"/>
          <w:rtl/>
        </w:rPr>
        <w:t>.</w:t>
      </w:r>
    </w:p>
  </w:footnote>
  <w:footnote w:id="9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B138EC">
        <w:rPr>
          <w:rFonts w:ascii="Noor_Titr" w:hAnsi="Noor_Titr" w:cs="B Badr" w:hint="cs"/>
          <w:color w:val="000000" w:themeColor="text1"/>
          <w:rtl/>
        </w:rPr>
        <w:t>وسائل الش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B138EC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E5565B">
        <w:rPr>
          <w:rFonts w:ascii="Noor_Titr" w:hAnsi="Noor_Titr" w:cs="B Badr"/>
          <w:color w:val="000000" w:themeColor="text1"/>
          <w:rtl/>
        </w:rPr>
        <w:t>ج 28</w:t>
      </w:r>
      <w:r w:rsidRPr="00B138EC">
        <w:rPr>
          <w:rFonts w:ascii="Noor_Titr" w:hAnsi="Noor_Titr" w:cs="B Badr" w:hint="cs"/>
          <w:color w:val="000000" w:themeColor="text1"/>
          <w:rtl/>
        </w:rPr>
        <w:t>، ص: 369</w:t>
      </w:r>
      <w:r w:rsidR="00B629D5">
        <w:rPr>
          <w:rFonts w:hint="cs"/>
          <w:rtl/>
        </w:rPr>
        <w:t>.</w:t>
      </w:r>
    </w:p>
  </w:footnote>
  <w:footnote w:id="10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B138EC">
        <w:rPr>
          <w:rFonts w:ascii="Noor_Titr" w:hAnsi="Noor_Titr" w:cs="B Badr" w:hint="cs"/>
          <w:color w:val="000000" w:themeColor="text1"/>
          <w:rtl/>
        </w:rPr>
        <w:t>ال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B138EC">
        <w:rPr>
          <w:rFonts w:ascii="Noor_Titr" w:hAnsi="Noor_Titr" w:cs="B Badr" w:hint="cs"/>
          <w:color w:val="000000" w:themeColor="text1"/>
          <w:rtl/>
        </w:rPr>
        <w:t>اف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B138EC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B138EC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E5565B">
        <w:rPr>
          <w:rFonts w:ascii="Noor_Titr" w:hAnsi="Noor_Titr" w:cs="B Badr"/>
          <w:color w:val="000000" w:themeColor="text1"/>
          <w:rtl/>
        </w:rPr>
        <w:t>ج 2</w:t>
      </w:r>
      <w:r w:rsidRPr="00B138EC">
        <w:rPr>
          <w:rFonts w:ascii="Noor_Titr" w:hAnsi="Noor_Titr" w:cs="B Badr" w:hint="cs"/>
          <w:color w:val="000000" w:themeColor="text1"/>
          <w:rtl/>
        </w:rPr>
        <w:t>، ص: 26</w:t>
      </w:r>
      <w:r w:rsidR="00B629D5">
        <w:rPr>
          <w:rFonts w:hint="cs"/>
          <w:rtl/>
        </w:rPr>
        <w:t>.</w:t>
      </w:r>
    </w:p>
  </w:footnote>
  <w:footnote w:id="11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B138EC">
        <w:rPr>
          <w:rFonts w:ascii="Noor_Titr" w:hAnsi="Noor_Titr" w:cs="B Badr" w:hint="cs"/>
          <w:color w:val="000000" w:themeColor="text1"/>
          <w:rtl/>
        </w:rPr>
        <w:t>ت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B138EC">
        <w:rPr>
          <w:rFonts w:ascii="Noor_Titr" w:hAnsi="Noor_Titr" w:cs="B Badr" w:hint="cs"/>
          <w:color w:val="000000" w:themeColor="text1"/>
          <w:rtl/>
        </w:rPr>
        <w:t>ملة المنهاج؛ ص: 56</w:t>
      </w:r>
      <w:r w:rsidR="00B629D5">
        <w:rPr>
          <w:rFonts w:hint="cs"/>
          <w:rtl/>
        </w:rPr>
        <w:t>.</w:t>
      </w:r>
    </w:p>
  </w:footnote>
  <w:footnote w:id="12">
    <w:p w:rsidR="001C3D91" w:rsidRDefault="001C3D91" w:rsidP="001C3D9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cs="B Badr" w:hint="cs"/>
          <w:rtl/>
        </w:rPr>
        <w:t xml:space="preserve">- </w:t>
      </w:r>
      <w:r w:rsidRPr="0056403A">
        <w:rPr>
          <w:rFonts w:cs="B Badr" w:hint="cs"/>
          <w:rtl/>
        </w:rPr>
        <w:t>4/نور</w:t>
      </w:r>
      <w:r w:rsidR="00B629D5">
        <w:rPr>
          <w:rFonts w:hint="cs"/>
          <w:rtl/>
        </w:rPr>
        <w:t>.</w:t>
      </w:r>
    </w:p>
  </w:footnote>
  <w:footnote w:id="13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56403A">
        <w:rPr>
          <w:rFonts w:ascii="Noor_Titr" w:hAnsi="Noor_Titr" w:cs="B Badr" w:hint="cs"/>
          <w:color w:val="000000" w:themeColor="text1"/>
          <w:rtl/>
        </w:rPr>
        <w:t>ال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56403A">
        <w:rPr>
          <w:rFonts w:ascii="Noor_Titr" w:hAnsi="Noor_Titr" w:cs="B Badr" w:hint="cs"/>
          <w:color w:val="000000" w:themeColor="text1"/>
          <w:rtl/>
        </w:rPr>
        <w:t>اف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56403A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56403A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E5565B">
        <w:rPr>
          <w:rFonts w:ascii="Noor_Titr" w:hAnsi="Noor_Titr" w:cs="B Badr"/>
          <w:color w:val="000000" w:themeColor="text1"/>
          <w:rtl/>
        </w:rPr>
        <w:t>ج 7</w:t>
      </w:r>
      <w:r w:rsidRPr="0056403A">
        <w:rPr>
          <w:rFonts w:ascii="Noor_Titr" w:hAnsi="Noor_Titr" w:cs="B Badr" w:hint="cs"/>
          <w:color w:val="000000" w:themeColor="text1"/>
          <w:rtl/>
        </w:rPr>
        <w:t>، ص: 241</w:t>
      </w:r>
      <w:r w:rsidR="00B629D5">
        <w:rPr>
          <w:rFonts w:hint="cs"/>
          <w:rtl/>
        </w:rPr>
        <w:t>.</w:t>
      </w:r>
    </w:p>
  </w:footnote>
  <w:footnote w:id="14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56403A">
        <w:rPr>
          <w:rFonts w:ascii="Noor_Titr" w:hAnsi="Noor_Titr" w:cs="B Badr" w:hint="cs"/>
          <w:color w:val="000000" w:themeColor="text1"/>
          <w:rtl/>
        </w:rPr>
        <w:t>ت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56403A">
        <w:rPr>
          <w:rFonts w:ascii="Noor_Titr" w:hAnsi="Noor_Titr" w:cs="B Badr" w:hint="cs"/>
          <w:color w:val="000000" w:themeColor="text1"/>
          <w:rtl/>
        </w:rPr>
        <w:t>ملة المنهاج؛ ص: 56</w:t>
      </w:r>
      <w:r w:rsidR="00B629D5">
        <w:rPr>
          <w:rFonts w:hint="cs"/>
          <w:rtl/>
        </w:rPr>
        <w:t>.</w:t>
      </w:r>
    </w:p>
  </w:footnote>
  <w:footnote w:id="15">
    <w:p w:rsidR="001C3D91" w:rsidRDefault="001C3D91" w:rsidP="001C3D9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629D5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56403A">
        <w:rPr>
          <w:rFonts w:ascii="Noor_Titr" w:hAnsi="Noor_Titr" w:cs="B Badr" w:hint="cs"/>
          <w:color w:val="000000" w:themeColor="text1"/>
          <w:rtl/>
        </w:rPr>
        <w:t>تهذ</w:t>
      </w:r>
      <w:r w:rsidR="00E5565B">
        <w:rPr>
          <w:rFonts w:ascii="Noor_Titr" w:hAnsi="Noor_Titr" w:cs="B Badr" w:hint="cs"/>
          <w:color w:val="000000" w:themeColor="text1"/>
          <w:rtl/>
        </w:rPr>
        <w:t>ی</w:t>
      </w:r>
      <w:r w:rsidRPr="0056403A">
        <w:rPr>
          <w:rFonts w:ascii="Noor_Titr" w:hAnsi="Noor_Titr" w:cs="B Badr" w:hint="cs"/>
          <w:color w:val="000000" w:themeColor="text1"/>
          <w:rtl/>
        </w:rPr>
        <w:t>ب الأح</w:t>
      </w:r>
      <w:r w:rsidR="00E5565B">
        <w:rPr>
          <w:rFonts w:ascii="Noor_Titr" w:hAnsi="Noor_Titr" w:cs="B Badr" w:hint="cs"/>
          <w:color w:val="000000" w:themeColor="text1"/>
          <w:rtl/>
        </w:rPr>
        <w:t>ک</w:t>
      </w:r>
      <w:r w:rsidRPr="0056403A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E5565B">
        <w:rPr>
          <w:rFonts w:ascii="Noor_Titr" w:hAnsi="Noor_Titr" w:cs="B Badr"/>
          <w:color w:val="000000" w:themeColor="text1"/>
          <w:rtl/>
        </w:rPr>
        <w:t>ج 10</w:t>
      </w:r>
      <w:r w:rsidRPr="0056403A">
        <w:rPr>
          <w:rFonts w:ascii="Noor_Titr" w:hAnsi="Noor_Titr" w:cs="B Badr" w:hint="cs"/>
          <w:color w:val="000000" w:themeColor="text1"/>
          <w:rtl/>
        </w:rPr>
        <w:t>، ص: 48</w:t>
      </w:r>
      <w:r w:rsidR="00B629D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326CDA" w:rsidRDefault="000D5800" w:rsidP="00326CDA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D3E5F7" wp14:editId="6F2A104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80714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3BBFE5BD" wp14:editId="4BDD4B1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C3D91">
      <w:rPr>
        <w:rFonts w:ascii="IranNastaliq" w:hAnsi="IranNastaliq" w:cs="IranNastaliq" w:hint="cs"/>
        <w:sz w:val="40"/>
        <w:szCs w:val="40"/>
        <w:rtl/>
        <w:lang w:bidi="fa-IR"/>
      </w:rPr>
      <w:t>957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C3D91"/>
    <w:rsid w:val="001D24F8"/>
    <w:rsid w:val="001D542D"/>
    <w:rsid w:val="001E0636"/>
    <w:rsid w:val="001E306E"/>
    <w:rsid w:val="001E3FB0"/>
    <w:rsid w:val="001E4FFF"/>
    <w:rsid w:val="001F2E3E"/>
    <w:rsid w:val="001F7638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6CDA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450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C1BC2"/>
    <w:rsid w:val="006D3A87"/>
    <w:rsid w:val="006F01B4"/>
    <w:rsid w:val="00727867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D19EB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84041"/>
    <w:rsid w:val="008965D2"/>
    <w:rsid w:val="008A236D"/>
    <w:rsid w:val="008B565A"/>
    <w:rsid w:val="008C3414"/>
    <w:rsid w:val="008D2F68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3DE3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29D5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65B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105B"/>
    <w:rsid w:val="00F22F27"/>
    <w:rsid w:val="00F40284"/>
    <w:rsid w:val="00F67976"/>
    <w:rsid w:val="00F70BE1"/>
    <w:rsid w:val="00F76322"/>
    <w:rsid w:val="00F76AEB"/>
    <w:rsid w:val="00FC0862"/>
    <w:rsid w:val="00FC1B7D"/>
    <w:rsid w:val="00FC70FB"/>
    <w:rsid w:val="00FD143D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629D5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629D5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4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629D5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629D5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4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850E-C3A7-4450-B225-FCDB86DF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106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59</cp:revision>
  <dcterms:created xsi:type="dcterms:W3CDTF">2014-12-20T10:23:00Z</dcterms:created>
  <dcterms:modified xsi:type="dcterms:W3CDTF">2015-08-27T06:34:00Z</dcterms:modified>
</cp:coreProperties>
</file>