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5C" w:rsidRDefault="00F76AA9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7941B0" w:rsidRDefault="007941B0" w:rsidP="007941B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7941B0" w:rsidRDefault="007941B0" w:rsidP="007941B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60286" w:history="1">
        <w:r w:rsidRPr="00E23E1C">
          <w:rPr>
            <w:rStyle w:val="Hyperlink"/>
            <w:rFonts w:ascii="IRBadr" w:hAnsi="IRBadr" w:cs="IRBadr" w:hint="eastAsia"/>
            <w:noProof/>
            <w:rtl/>
          </w:rPr>
          <w:t>فصول</w:t>
        </w:r>
        <w:r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E23E1C">
          <w:rPr>
            <w:rStyle w:val="Hyperlink"/>
            <w:rFonts w:ascii="IRBadr" w:hAnsi="IRBadr" w:cs="IRBadr" w:hint="eastAsia"/>
            <w:noProof/>
            <w:rtl/>
          </w:rPr>
          <w:t>حدود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_Toc428360286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87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مباحث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_Toc428360287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1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88" w:history="1"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ن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حدود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_Toc428360288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2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89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_Toc428360289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2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90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_Toc428360290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2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91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_Toc428360291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2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60292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_Toc428360292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3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3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حد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دارالعدو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_Toc428360293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3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4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_Toc428360294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3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5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_Toc428360295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3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6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_Toc428360296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4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7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مراد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ارض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العدو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_Toc428360297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4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8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_Toc428360298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4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299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عبارت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_Toc428360299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4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Default="00162525" w:rsidP="007941B0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60300" w:history="1"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نکات</w:t>
        </w:r>
        <w:r w:rsidR="007941B0" w:rsidRPr="00E23E1C">
          <w:rPr>
            <w:rStyle w:val="Hyperlink"/>
            <w:rFonts w:ascii="IRBadr" w:hAnsi="IRBadr" w:cs="IRBadr" w:hint="cs"/>
            <w:noProof/>
            <w:rtl/>
          </w:rPr>
          <w:t>ی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در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قبال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عبارت</w:t>
        </w:r>
        <w:r w:rsidR="007941B0" w:rsidRPr="00E23E1C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7941B0" w:rsidRPr="00E23E1C">
          <w:rPr>
            <w:rStyle w:val="Hyperlink"/>
            <w:rFonts w:ascii="IRBadr" w:hAnsi="IRBadr" w:cs="IRBadr" w:hint="eastAsia"/>
            <w:noProof/>
            <w:rtl/>
          </w:rPr>
          <w:t>فوق</w:t>
        </w:r>
        <w:r w:rsidR="007941B0">
          <w:rPr>
            <w:noProof/>
            <w:webHidden/>
          </w:rPr>
          <w:tab/>
        </w:r>
        <w:r w:rsidR="007941B0">
          <w:rPr>
            <w:rStyle w:val="Hyperlink"/>
            <w:noProof/>
            <w:rtl/>
          </w:rPr>
          <w:fldChar w:fldCharType="begin"/>
        </w:r>
        <w:r w:rsidR="007941B0">
          <w:rPr>
            <w:noProof/>
            <w:webHidden/>
          </w:rPr>
          <w:instrText xml:space="preserve"> PAGEREF _Toc428360300 \h </w:instrText>
        </w:r>
        <w:r w:rsidR="007941B0">
          <w:rPr>
            <w:rStyle w:val="Hyperlink"/>
            <w:noProof/>
            <w:rtl/>
          </w:rPr>
        </w:r>
        <w:r w:rsidR="007941B0">
          <w:rPr>
            <w:rStyle w:val="Hyperlink"/>
            <w:noProof/>
            <w:rtl/>
          </w:rPr>
          <w:fldChar w:fldCharType="separate"/>
        </w:r>
        <w:r w:rsidR="007941B0">
          <w:rPr>
            <w:noProof/>
            <w:webHidden/>
          </w:rPr>
          <w:t>5</w:t>
        </w:r>
        <w:r w:rsidR="007941B0">
          <w:rPr>
            <w:rStyle w:val="Hyperlink"/>
            <w:noProof/>
            <w:rtl/>
          </w:rPr>
          <w:fldChar w:fldCharType="end"/>
        </w:r>
      </w:hyperlink>
    </w:p>
    <w:p w:rsidR="007941B0" w:rsidRPr="007941B0" w:rsidRDefault="007941B0" w:rsidP="007941B0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782666" w:rsidRDefault="00782666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0" w:name="_Toc428360286"/>
      <w:r>
        <w:rPr>
          <w:rFonts w:ascii="IRBadr" w:hAnsi="IRBadr" w:cs="IRBadr"/>
          <w:rtl/>
        </w:rPr>
        <w:br w:type="page"/>
      </w:r>
    </w:p>
    <w:p w:rsidR="00F3505C" w:rsidRPr="007941B0" w:rsidRDefault="00F3505C" w:rsidP="00F3505C">
      <w:pPr>
        <w:pStyle w:val="Heading1"/>
        <w:rPr>
          <w:rFonts w:ascii="IRBadr" w:hAnsi="IRBadr" w:cs="IRBadr"/>
          <w:rtl/>
        </w:rPr>
      </w:pPr>
      <w:r w:rsidRPr="007941B0">
        <w:rPr>
          <w:rFonts w:ascii="IRBadr" w:hAnsi="IRBadr" w:cs="IRBadr"/>
          <w:rtl/>
        </w:rPr>
        <w:lastRenderedPageBreak/>
        <w:t>فصول حدود</w:t>
      </w:r>
      <w:bookmarkEnd w:id="0"/>
    </w:p>
    <w:p w:rsidR="00F3505C" w:rsidRPr="007941B0" w:rsidRDefault="00F3505C" w:rsidP="00F3505C">
      <w:pPr>
        <w:pStyle w:val="Heading1"/>
        <w:rPr>
          <w:rFonts w:ascii="IRBadr" w:hAnsi="IRBadr" w:cs="IRBadr"/>
          <w:rtl/>
        </w:rPr>
      </w:pPr>
      <w:bookmarkStart w:id="1" w:name="_Toc428360287"/>
      <w:r w:rsidRPr="007941B0">
        <w:rPr>
          <w:rFonts w:ascii="IRBadr" w:hAnsi="IRBadr" w:cs="IRBadr"/>
          <w:rtl/>
        </w:rPr>
        <w:t>مرور مباحث سابق</w:t>
      </w:r>
      <w:bookmarkEnd w:id="1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تاکنون در بحث حدود به این مباحث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پرداخته‌شده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برای ثبوت حد شرایطی وجود دارد که بلوغ،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قصد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اختیار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و علم به حرمت از موارد آن است.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فصل دوم احکامی که مشترک است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موردبررسی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قرار گرفت.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فصل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سوم به بحث مثبتات اختصاص یافت که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مسقط عفو بود.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فصل چهارم به کیستی مجری حدود پرداخته شد و به دنبال آن به تبعات اجرای اشتباه حدود بیان گشت.</w:t>
      </w:r>
    </w:p>
    <w:p w:rsidR="00F3505C" w:rsidRPr="007941B0" w:rsidRDefault="00F3505C" w:rsidP="00F76AA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در پایان این فصول،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بخشی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تحت عنوان تعزیرات تدارک دیده شد که در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آنجا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به چیستی تعزیر،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اقسام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و موارد ثبوت،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کمیت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و کیفیت آن پرداخته شد.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روایاتی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نیز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تأدیب صبی،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عدد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آن و سایر خصوصیات مربوطه بیان شد.</w:t>
      </w:r>
    </w:p>
    <w:p w:rsidR="00F3505C" w:rsidRPr="007941B0" w:rsidRDefault="00F3505C" w:rsidP="00F3505C">
      <w:pPr>
        <w:pStyle w:val="Heading2"/>
        <w:rPr>
          <w:rFonts w:ascii="IRBadr" w:hAnsi="IRBadr" w:cs="IRBadr"/>
          <w:rtl/>
        </w:rPr>
      </w:pPr>
      <w:bookmarkStart w:id="2" w:name="_Toc428360288"/>
      <w:r w:rsidRPr="007941B0">
        <w:rPr>
          <w:rFonts w:ascii="IRBadr" w:hAnsi="IRBadr" w:cs="IRBadr"/>
          <w:rtl/>
        </w:rPr>
        <w:t>یمین در بحث حدود</w:t>
      </w:r>
      <w:bookmarkEnd w:id="2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یمین در بحث حدود ز جمله مثبتات به شمار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اگر بینه قائم شد که او سرقت کرده است،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قسم چیزی از او دفع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3505C" w:rsidRPr="007941B0" w:rsidRDefault="00F3505C" w:rsidP="00F3505C">
      <w:pPr>
        <w:pStyle w:val="Heading2"/>
        <w:rPr>
          <w:rFonts w:ascii="IRBadr" w:hAnsi="IRBadr" w:cs="IRBadr"/>
          <w:rtl/>
        </w:rPr>
      </w:pPr>
      <w:bookmarkStart w:id="3" w:name="_Toc428360289"/>
      <w:r w:rsidRPr="007941B0">
        <w:rPr>
          <w:rFonts w:ascii="IRBadr" w:hAnsi="IRBadr" w:cs="IRBadr"/>
          <w:rtl/>
        </w:rPr>
        <w:t>مستندات بحث</w:t>
      </w:r>
      <w:bookmarkEnd w:id="3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روایات مربوط به بحث در ابواب مقدمات حدود، باب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بیست‌وچهار ذکرشده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F3505C" w:rsidRPr="007941B0" w:rsidRDefault="00F3505C" w:rsidP="00F3505C">
      <w:pPr>
        <w:pStyle w:val="Heading2"/>
        <w:rPr>
          <w:rFonts w:ascii="IRBadr" w:hAnsi="IRBadr" w:cs="IRBadr"/>
          <w:rtl/>
        </w:rPr>
      </w:pPr>
      <w:bookmarkStart w:id="4" w:name="_Toc428360290"/>
      <w:r w:rsidRPr="007941B0">
        <w:rPr>
          <w:rFonts w:ascii="IRBadr" w:hAnsi="IRBadr" w:cs="IRBadr"/>
          <w:rtl/>
        </w:rPr>
        <w:t>روایت اول</w:t>
      </w:r>
      <w:bookmarkEnd w:id="4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این روایت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مرسله است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و سهل بن زیاد توثیق کاملی ندارد؛</w:t>
      </w:r>
    </w:p>
    <w:p w:rsidR="00F3505C" w:rsidRPr="007941B0" w:rsidRDefault="00F3505C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«عِدَّةٌ مِنْ أَصْحَابِنَا عَنْ سَهْلِ بْنِ زِ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ادٍ عَنْ أَحْمَدَ بْنِ مُحَمَّدِ بْنِ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نَصْرٍ عَنْ بَعْضِ أَصْحَابِنَا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أَتَ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رَجُلٌ أَمِ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الْمُؤْمِنِ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بِرَجُلٍ فَقَالَ هَذَا قَدْ قَذَفَنِ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لَمْ تَ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 لَهُ بَ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نَةٌ فَقَالَ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أَمِ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 الْمُؤْمِنِ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اسْتَحْلِفْهُ فَقَالَ لَا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فِ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حَدٍّ وَ لَا قِصَاصَ فِ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عَظْمٍ.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اما در اینجا فرمودند قسم در حد ارزشی ندارد.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روایت د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ار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ای سند دیگری نیز هست که از مرسلات ابن ابی عمیر است و تابع آن بحث کلی رجالی خواهد شد.</w:t>
      </w:r>
    </w:p>
    <w:p w:rsidR="00F3505C" w:rsidRPr="007941B0" w:rsidRDefault="00F3505C" w:rsidP="00F3505C">
      <w:pPr>
        <w:pStyle w:val="Heading2"/>
        <w:rPr>
          <w:rFonts w:ascii="IRBadr" w:hAnsi="IRBadr" w:cs="IRBadr"/>
          <w:rtl/>
        </w:rPr>
      </w:pPr>
      <w:bookmarkStart w:id="6" w:name="_Toc428360291"/>
      <w:r w:rsidRPr="007941B0">
        <w:rPr>
          <w:rFonts w:ascii="IRBadr" w:hAnsi="IRBadr" w:cs="IRBadr"/>
          <w:rtl/>
        </w:rPr>
        <w:t>روایت دوم</w:t>
      </w:r>
      <w:bookmarkEnd w:id="6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این روایت ظاهراً معتبره است؛</w:t>
      </w:r>
    </w:p>
    <w:p w:rsidR="00F3505C" w:rsidRPr="007941B0" w:rsidRDefault="00F3505C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«وَ بِإِسْنَادِهِ عَنِ الْحُسَ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نِ بْنِ سَعِ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عَنْ مُحَمَّدِ بْنِ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غِ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اثِ بْنِ إِبْرَاهِ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جَعْفَرٍ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أَمِ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 الْمُؤْمِنِ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ع فِ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ثٍ قَالَ: لَا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سْتَحْلَفُ صَاحِبُ الْحَدِّ.» </w:t>
      </w:r>
      <w:r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F3505C" w:rsidRPr="007941B0" w:rsidRDefault="00F3505C" w:rsidP="00F3505C">
      <w:pPr>
        <w:pStyle w:val="Heading2"/>
        <w:rPr>
          <w:rFonts w:ascii="IRBadr" w:hAnsi="IRBadr" w:cs="IRBadr"/>
          <w:rtl/>
        </w:rPr>
      </w:pPr>
      <w:bookmarkStart w:id="7" w:name="_Toc428360292"/>
      <w:r w:rsidRPr="007941B0">
        <w:rPr>
          <w:rFonts w:ascii="IRBadr" w:hAnsi="IRBadr" w:cs="IRBadr"/>
          <w:rtl/>
        </w:rPr>
        <w:t>روایت سوم</w:t>
      </w:r>
      <w:bookmarkEnd w:id="7"/>
    </w:p>
    <w:p w:rsidR="00F3505C" w:rsidRPr="007941B0" w:rsidRDefault="00F3505C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«مُحَمَّدُ بْنُ عَلِ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الْحُسَ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 قَالَ: قَالَ رَسُولُ اللَّهِ ص ادْرَءُوا الْحُدُودَ بِالشُّبُهَاتِ- وَ لَا شَفَاعَةَ وَ لَا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فَالَةَ وَ لَا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فِ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حَدٍّ.»</w:t>
      </w:r>
      <w:r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در اینجا تعبیر به نفی جنس شده است.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8" w:name="_Toc428360293"/>
      <w:r w:rsidRPr="007941B0">
        <w:rPr>
          <w:rFonts w:ascii="IRBadr" w:hAnsi="IRBadr" w:cs="IRBadr"/>
          <w:rtl/>
        </w:rPr>
        <w:t>حد در دارالعدو</w:t>
      </w:r>
      <w:bookmarkEnd w:id="8"/>
    </w:p>
    <w:p w:rsidR="00F3505C" w:rsidRPr="007941B0" w:rsidRDefault="007C51AB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دیگر این است که؛</w:t>
      </w:r>
    </w:p>
    <w:p w:rsidR="00F3505C" w:rsidRPr="007941B0" w:rsidRDefault="00F76AA9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لا 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قام الحدّ ... ف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أرض العدوّ مخافة الالتحاق»</w:t>
      </w:r>
      <w:r w:rsidR="00F3505C"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4"/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حد زمانی که ثابت شد در سرزمین دشمن اجرا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9" w:name="_Toc428360294"/>
      <w:r w:rsidRPr="007941B0">
        <w:rPr>
          <w:rFonts w:ascii="IRBadr" w:hAnsi="IRBadr" w:cs="IRBadr"/>
          <w:rtl/>
        </w:rPr>
        <w:t>مستندات بحث</w:t>
      </w:r>
      <w:bookmarkEnd w:id="9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این روایات در هیجده ابواب، مقدمات حدود، باب ده، صفحه سیصد و هفده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0" w:name="_Toc428360295"/>
      <w:r w:rsidRPr="007941B0">
        <w:rPr>
          <w:rFonts w:ascii="IRBadr" w:hAnsi="IRBadr" w:cs="IRBadr"/>
          <w:rtl/>
        </w:rPr>
        <w:t>روایت اول</w:t>
      </w:r>
      <w:bookmarkEnd w:id="10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روایت ذیل معتبر است؛</w:t>
      </w:r>
    </w:p>
    <w:p w:rsidR="00F3505C" w:rsidRPr="007941B0" w:rsidRDefault="00F3505C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«عَلِ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بْنُ إِبْرَاهِ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عَنِ ابْنِ فَضَّالٍ عَنْ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ونُسَ بْنِ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عْقُوبَ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مَرْ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جَعْفَرٍ ع قَالَ قَالَ أَمِ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ع لَا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أَحَدٍ حَدٌّ بِأَرْضِ الْعَدُوِّ.»</w:t>
      </w:r>
      <w:r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5"/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1" w:name="_Toc428360296"/>
      <w:r w:rsidRPr="007941B0">
        <w:rPr>
          <w:rFonts w:ascii="IRBadr" w:hAnsi="IRBadr" w:cs="IRBadr"/>
          <w:rtl/>
        </w:rPr>
        <w:t>روایت دوم</w:t>
      </w:r>
      <w:bookmarkEnd w:id="11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سند این روایت نیز معتبر است،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دارای سندهای متعددی در تهذیب،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کافی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و علل است؛</w:t>
      </w:r>
    </w:p>
    <w:p w:rsidR="00F3505C" w:rsidRPr="007941B0" w:rsidRDefault="00F3505C" w:rsidP="00F3505C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«الْحُسَ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نُ بْنُ سَعِ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دٍ عَنْ مُحَمَّدِ بْنِ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غِ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اثِ بْنِ إِبْرَاهِ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 عَنْ جَعْفَرٍ عَنْ أَبِ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عَلِ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 أَنَّهُ قَالَ: لَا أُقِ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عَلَ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حَدّاً بِأَرْضِ الْعَدُوِّ حَتَّ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خْرُجَ مِنْهَا مَخَافَةَ أَنْ تَحْمِلَهُ الْحَمِ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فَ</w:t>
      </w:r>
      <w:r w:rsidR="00F76AA9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لْحَقَ بِالْعَدُوِّ.»</w:t>
      </w:r>
      <w:r w:rsidRPr="007941B0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6"/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2" w:name="_Toc428360297"/>
      <w:r w:rsidRPr="007941B0">
        <w:rPr>
          <w:rFonts w:ascii="IRBadr" w:hAnsi="IRBadr" w:cs="IRBadr"/>
          <w:rtl/>
        </w:rPr>
        <w:t>مراد از ارض العدو</w:t>
      </w:r>
      <w:bookmarkEnd w:id="12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در اینکه مراد از ارض العدو چیست؟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احتمال وجود دارد؛</w:t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یکی اینکه منظور سرزمینی است که در حال جنگ با مسلمانان است.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دیگری اینکه منظور سرزمین غیر اسلامی است.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3" w:name="_Toc428360298"/>
      <w:r w:rsidRPr="007941B0">
        <w:rPr>
          <w:rFonts w:ascii="IRBadr" w:hAnsi="IRBadr" w:cs="IRBadr"/>
          <w:rtl/>
        </w:rPr>
        <w:t>اتخاذ مبنا</w:t>
      </w:r>
      <w:bookmarkEnd w:id="13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فرق بین این دو معنا زیاد بوده و به هر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دو صورت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در روایات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به‌کاررفته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است،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تعیین آن مقداری دشوار است.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4" w:name="_Toc428360299"/>
      <w:r w:rsidRPr="007941B0">
        <w:rPr>
          <w:rFonts w:ascii="IRBadr" w:hAnsi="IRBadr" w:cs="IRBadr"/>
          <w:rtl/>
        </w:rPr>
        <w:lastRenderedPageBreak/>
        <w:t>بررسی عبارتی در روایت</w:t>
      </w:r>
      <w:bookmarkEnd w:id="14"/>
    </w:p>
    <w:p w:rsidR="00F3505C" w:rsidRPr="007941B0" w:rsidRDefault="00F76AA9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دریکی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از روایات سابق عبارتی بود که در قبال آن چند احتمال وجود دارد؛</w:t>
      </w:r>
    </w:p>
    <w:p w:rsidR="00F3505C" w:rsidRPr="007941B0" w:rsidRDefault="00F76AA9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مَخَافَةَ أَنْ تَحْمِلَهُ الْحَمِ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ةُ فَ</w:t>
      </w:r>
      <w:r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F3505C" w:rsidRPr="007941B0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لْحَقَ بِالْعَدُوِّ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»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یکی اینکه حکمت باشد و دیگری اینکه علت حکم است.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حکمت باشد،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اطلاق دارد و اگر علت بوده باشد 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حکم را تعمیم و تخصیص داد.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که در 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F3505C" w:rsidRPr="007941B0">
        <w:rPr>
          <w:rFonts w:ascii="IRBadr" w:hAnsi="IRBadr" w:cs="IRBadr"/>
          <w:sz w:val="28"/>
          <w:szCs w:val="28"/>
          <w:rtl/>
          <w:lang w:bidi="fa-IR"/>
        </w:rPr>
        <w:t xml:space="preserve"> موارد اصل بر علیت بوده و حمل بر حکمت بودن نیازمند دلیل است.</w:t>
      </w:r>
    </w:p>
    <w:p w:rsidR="00F3505C" w:rsidRPr="007941B0" w:rsidRDefault="00F3505C" w:rsidP="00F3505C">
      <w:pPr>
        <w:pStyle w:val="Heading3"/>
        <w:rPr>
          <w:rFonts w:ascii="IRBadr" w:hAnsi="IRBadr" w:cs="IRBadr"/>
          <w:rtl/>
        </w:rPr>
      </w:pPr>
      <w:bookmarkStart w:id="15" w:name="_Toc428360300"/>
      <w:r w:rsidRPr="007941B0">
        <w:rPr>
          <w:rFonts w:ascii="IRBadr" w:hAnsi="IRBadr" w:cs="IRBadr"/>
          <w:rtl/>
        </w:rPr>
        <w:t>نکاتی در قبال عبارت فوق</w:t>
      </w:r>
      <w:bookmarkEnd w:id="15"/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>و حکم فوق در باب حدود مربوط به حد غیر از قتل است.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نکته دیگر اینکه موارد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بر اساس عنوان اولی بوده و الا بر اساس عنوان ثانوی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جلوی حکم را بگیرد.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معنای خوف در اینجا اعم از اطمینان و احتمال عقلایی در خصوص این امر است.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هرچند که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ظاهر همان احتمال عقلایی است و هر دو را دربر خواهد گرفت.</w:t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نکته دیگر اینکه لحوق به عدو گاهی پیوستن عملی است و گاهی لحوق عقیدتی و فکری است که روایت هر دو قسم را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.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 xml:space="preserve"> ظاهر روایت این است که هم موارد حقوق الله و هم حقوق الناس را دربر </w:t>
      </w:r>
      <w:r w:rsidR="00F76AA9" w:rsidRPr="007941B0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Pr="007941B0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F3505C" w:rsidRPr="007941B0" w:rsidRDefault="00F3505C" w:rsidP="00F3505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7941B0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7941B0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25" w:rsidRDefault="00162525" w:rsidP="000D5800">
      <w:pPr>
        <w:spacing w:after="0" w:line="240" w:lineRule="auto"/>
      </w:pPr>
      <w:r>
        <w:separator/>
      </w:r>
    </w:p>
  </w:endnote>
  <w:endnote w:type="continuationSeparator" w:id="0">
    <w:p w:rsidR="00162525" w:rsidRDefault="0016252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25" w:rsidRDefault="00162525" w:rsidP="007941B0">
      <w:pPr>
        <w:bidi/>
        <w:spacing w:after="0" w:line="240" w:lineRule="auto"/>
      </w:pPr>
      <w:r>
        <w:separator/>
      </w:r>
    </w:p>
  </w:footnote>
  <w:footnote w:type="continuationSeparator" w:id="0">
    <w:p w:rsidR="00162525" w:rsidRDefault="00162525" w:rsidP="000D5800">
      <w:pPr>
        <w:spacing w:after="0" w:line="240" w:lineRule="auto"/>
      </w:pPr>
      <w:r>
        <w:continuationSeparator/>
      </w:r>
    </w:p>
  </w:footnote>
  <w:footnote w:id="1">
    <w:p w:rsidR="00F3505C" w:rsidRDefault="00F3505C" w:rsidP="00F3505C">
      <w:pPr>
        <w:pStyle w:val="FootnoteText"/>
        <w:rPr>
          <w:rFonts w:cstheme="minorBidi"/>
          <w:rtl/>
        </w:rPr>
      </w:pPr>
      <w:bookmarkStart w:id="5" w:name="_GoBack"/>
      <w:bookmarkEnd w:id="5"/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F76AA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76AA9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255</w:t>
      </w:r>
      <w:r w:rsidR="007C51AB">
        <w:rPr>
          <w:rFonts w:cstheme="minorBidi" w:hint="cs"/>
          <w:rtl/>
        </w:rPr>
        <w:t>.</w:t>
      </w:r>
    </w:p>
  </w:footnote>
  <w:footnote w:id="2">
    <w:p w:rsidR="00F3505C" w:rsidRDefault="00F3505C" w:rsidP="00F3505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وسائل الش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F76AA9">
        <w:rPr>
          <w:rFonts w:ascii="Noor_Titr" w:hAnsi="Noor_Titr" w:cs="B Badr"/>
          <w:color w:val="000000" w:themeColor="text1"/>
          <w:rtl/>
        </w:rPr>
        <w:t>ج 28</w:t>
      </w:r>
      <w:r>
        <w:rPr>
          <w:rFonts w:ascii="Noor_Titr" w:hAnsi="Noor_Titr" w:cs="B Badr" w:hint="cs"/>
          <w:color w:val="000000" w:themeColor="text1"/>
          <w:rtl/>
        </w:rPr>
        <w:t>، ص: 46</w:t>
      </w:r>
      <w:r w:rsidR="007C51AB">
        <w:rPr>
          <w:rFonts w:hint="cs"/>
          <w:rtl/>
        </w:rPr>
        <w:t>.</w:t>
      </w:r>
    </w:p>
  </w:footnote>
  <w:footnote w:id="3">
    <w:p w:rsidR="00F3505C" w:rsidRDefault="00F3505C" w:rsidP="00F3505C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وسائل الش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F76AA9">
        <w:rPr>
          <w:rFonts w:ascii="Noor_Titr" w:hAnsi="Noor_Titr" w:cs="B Badr"/>
          <w:color w:val="000000" w:themeColor="text1"/>
          <w:rtl/>
        </w:rPr>
        <w:t>ج 28</w:t>
      </w:r>
      <w:r>
        <w:rPr>
          <w:rFonts w:ascii="Noor_Titr" w:hAnsi="Noor_Titr" w:cs="B Badr" w:hint="cs"/>
          <w:color w:val="000000" w:themeColor="text1"/>
          <w:rtl/>
        </w:rPr>
        <w:t>، ص: 47</w:t>
      </w:r>
      <w:r w:rsidR="007C51AB">
        <w:rPr>
          <w:rFonts w:hint="cs"/>
          <w:rtl/>
        </w:rPr>
        <w:t>.</w:t>
      </w:r>
    </w:p>
  </w:footnote>
  <w:footnote w:id="4">
    <w:p w:rsidR="00F3505C" w:rsidRDefault="00F3505C" w:rsidP="00F3505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Lotus" w:hAnsi="Noor_Lotus" w:cs="B Badr" w:hint="cs"/>
          <w:color w:val="000000" w:themeColor="text1"/>
          <w:rtl/>
        </w:rPr>
        <w:t xml:space="preserve">- </w:t>
      </w:r>
      <w:r>
        <w:rPr>
          <w:rFonts w:ascii="Noor_Lotus" w:hAnsi="Noor_Lotus" w:cs="B Badr" w:hint="cs"/>
          <w:color w:val="000000" w:themeColor="text1"/>
          <w:rtl/>
        </w:rPr>
        <w:t>شرائع الإسلام، ج 4، ص 143</w:t>
      </w:r>
      <w:r w:rsidR="007C51AB">
        <w:rPr>
          <w:rFonts w:hint="cs"/>
          <w:rtl/>
        </w:rPr>
        <w:t>.</w:t>
      </w:r>
    </w:p>
  </w:footnote>
  <w:footnote w:id="5">
    <w:p w:rsidR="00F3505C" w:rsidRDefault="00F3505C" w:rsidP="00F3505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F76AA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F76AA9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218</w:t>
      </w:r>
      <w:r w:rsidR="007C51AB">
        <w:rPr>
          <w:rFonts w:hint="cs"/>
          <w:rtl/>
        </w:rPr>
        <w:t>.</w:t>
      </w:r>
    </w:p>
  </w:footnote>
  <w:footnote w:id="6">
    <w:p w:rsidR="00F3505C" w:rsidRDefault="00F3505C" w:rsidP="00F3505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7C51AB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تهذ</w:t>
      </w:r>
      <w:r w:rsidR="00F76AA9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ب الأح</w:t>
      </w:r>
      <w:r w:rsidR="00F76AA9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 xml:space="preserve">ام؛ </w:t>
      </w:r>
      <w:r w:rsidR="00F76AA9">
        <w:rPr>
          <w:rFonts w:ascii="Noor_Titr" w:hAnsi="Noor_Titr" w:cs="B Badr"/>
          <w:color w:val="000000" w:themeColor="text1"/>
          <w:rtl/>
        </w:rPr>
        <w:t>ج 10</w:t>
      </w:r>
      <w:r>
        <w:rPr>
          <w:rFonts w:ascii="Noor_Titr" w:hAnsi="Noor_Titr" w:cs="B Badr" w:hint="cs"/>
          <w:color w:val="000000" w:themeColor="text1"/>
          <w:rtl/>
        </w:rPr>
        <w:t>، ص: 40</w:t>
      </w:r>
      <w:r w:rsidR="007C51AB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782666" w:rsidRDefault="000D5800" w:rsidP="00782666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A1569F" wp14:editId="3E8507C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F9EBE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  <w:lang w:bidi="fa-IR"/>
      </w:rPr>
      <w:drawing>
        <wp:inline distT="0" distB="0" distL="0" distR="0" wp14:anchorId="10881412" wp14:editId="4F76A18C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3505C">
      <w:rPr>
        <w:rFonts w:ascii="IranNastaliq" w:hAnsi="IranNastaliq" w:cs="IranNastaliq" w:hint="cs"/>
        <w:sz w:val="40"/>
        <w:szCs w:val="40"/>
        <w:rtl/>
        <w:lang w:bidi="fa-IR"/>
      </w:rPr>
      <w:t>958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2525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3F33"/>
    <w:rsid w:val="00636EFA"/>
    <w:rsid w:val="0066229C"/>
    <w:rsid w:val="00675B32"/>
    <w:rsid w:val="0069696C"/>
    <w:rsid w:val="006A085A"/>
    <w:rsid w:val="006D3A87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2666"/>
    <w:rsid w:val="00783462"/>
    <w:rsid w:val="00787B13"/>
    <w:rsid w:val="00792FAC"/>
    <w:rsid w:val="007941B0"/>
    <w:rsid w:val="007A5D2F"/>
    <w:rsid w:val="007A7C17"/>
    <w:rsid w:val="007B0C3E"/>
    <w:rsid w:val="007B4648"/>
    <w:rsid w:val="007B62BF"/>
    <w:rsid w:val="007B6FEB"/>
    <w:rsid w:val="007C1EF7"/>
    <w:rsid w:val="007C51AB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34C7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3505C"/>
    <w:rsid w:val="00F40284"/>
    <w:rsid w:val="00F67976"/>
    <w:rsid w:val="00F70BE1"/>
    <w:rsid w:val="00F76AA9"/>
    <w:rsid w:val="00F76AEB"/>
    <w:rsid w:val="00FC0862"/>
    <w:rsid w:val="00FC1B7D"/>
    <w:rsid w:val="00FC70FB"/>
    <w:rsid w:val="00FD143D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505C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505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4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3505C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3505C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941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EB52F-6CBA-42A3-A7EA-56362463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103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58</cp:revision>
  <dcterms:created xsi:type="dcterms:W3CDTF">2014-12-20T10:23:00Z</dcterms:created>
  <dcterms:modified xsi:type="dcterms:W3CDTF">2015-08-27T06:35:00Z</dcterms:modified>
</cp:coreProperties>
</file>