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0F" w:rsidRDefault="00CD130A" w:rsidP="00517E0F">
      <w:pPr>
        <w:bidi/>
        <w:spacing w:line="360" w:lineRule="auto"/>
        <w:jc w:val="both"/>
        <w:rPr>
          <w:noProof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C75784" w:rsidRPr="00517E0F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517E0F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517E0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17E0F">
        <w:rPr>
          <w:rFonts w:ascii="IRBadr" w:hAnsi="IRBadr" w:cs="IRBadr"/>
          <w:sz w:val="28"/>
          <w:szCs w:val="28"/>
          <w:lang w:bidi="fa-IR"/>
        </w:rPr>
        <w:instrText>TOC</w:instrText>
      </w:r>
      <w:r w:rsidR="00517E0F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517E0F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517E0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17E0F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517E0F" w:rsidRDefault="00F14753" w:rsidP="00517E0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4255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کفالت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حد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_Toc432144255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2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4256" w:history="1">
        <w:r w:rsidR="00517E0F" w:rsidRPr="00C17454">
          <w:rPr>
            <w:rStyle w:val="Hyperlink"/>
            <w:rFonts w:hint="eastAsia"/>
            <w:noProof/>
            <w:rtl/>
          </w:rPr>
          <w:t>مؤ</w:t>
        </w:r>
        <w:r w:rsidR="00517E0F" w:rsidRPr="00C17454">
          <w:rPr>
            <w:rStyle w:val="Hyperlink"/>
            <w:rFonts w:hint="cs"/>
            <w:noProof/>
            <w:rtl/>
          </w:rPr>
          <w:t>ی</w:t>
        </w:r>
        <w:r w:rsidR="00517E0F" w:rsidRPr="00C17454">
          <w:rPr>
            <w:rStyle w:val="Hyperlink"/>
            <w:rFonts w:hint="eastAsia"/>
            <w:noProof/>
            <w:rtl/>
          </w:rPr>
          <w:t>د</w:t>
        </w:r>
        <w:r w:rsidR="00517E0F" w:rsidRPr="00C17454">
          <w:rPr>
            <w:rStyle w:val="Hyperlink"/>
            <w:rFonts w:hint="cs"/>
            <w:noProof/>
            <w:rtl/>
          </w:rPr>
          <w:t>ی</w:t>
        </w:r>
        <w:r w:rsidR="00517E0F" w:rsidRPr="00C17454">
          <w:rPr>
            <w:rStyle w:val="Hyperlink"/>
            <w:rFonts w:hint="eastAsia"/>
            <w:noProof/>
            <w:rtl/>
          </w:rPr>
          <w:t>ت</w:t>
        </w:r>
        <w:r w:rsidR="00517E0F" w:rsidRPr="00C17454">
          <w:rPr>
            <w:rStyle w:val="Hyperlink"/>
            <w:noProof/>
            <w:rtl/>
          </w:rPr>
          <w:t xml:space="preserve"> </w:t>
        </w:r>
        <w:r w:rsidR="00517E0F" w:rsidRPr="00C17454">
          <w:rPr>
            <w:rStyle w:val="Hyperlink"/>
            <w:rFonts w:hint="eastAsia"/>
            <w:noProof/>
            <w:rtl/>
          </w:rPr>
          <w:t>قواعد</w:t>
        </w:r>
        <w:r w:rsidR="00517E0F" w:rsidRPr="00C17454">
          <w:rPr>
            <w:rStyle w:val="Hyperlink"/>
            <w:noProof/>
            <w:rtl/>
          </w:rPr>
          <w:t xml:space="preserve"> </w:t>
        </w:r>
        <w:r w:rsidR="00517E0F" w:rsidRPr="00C17454">
          <w:rPr>
            <w:rStyle w:val="Hyperlink"/>
            <w:rFonts w:hint="eastAsia"/>
            <w:noProof/>
            <w:rtl/>
          </w:rPr>
          <w:t>در</w:t>
        </w:r>
        <w:r w:rsidR="00517E0F" w:rsidRPr="00C17454">
          <w:rPr>
            <w:rStyle w:val="Hyperlink"/>
            <w:noProof/>
            <w:rtl/>
          </w:rPr>
          <w:t xml:space="preserve"> </w:t>
        </w:r>
        <w:r w:rsidR="00517E0F" w:rsidRPr="00C17454">
          <w:rPr>
            <w:rStyle w:val="Hyperlink"/>
            <w:rFonts w:hint="eastAsia"/>
            <w:noProof/>
            <w:rtl/>
          </w:rPr>
          <w:t>ا</w:t>
        </w:r>
        <w:r w:rsidR="00517E0F" w:rsidRPr="00C17454">
          <w:rPr>
            <w:rStyle w:val="Hyperlink"/>
            <w:rFonts w:hint="cs"/>
            <w:noProof/>
            <w:rtl/>
          </w:rPr>
          <w:t>ی</w:t>
        </w:r>
        <w:r w:rsidR="00517E0F" w:rsidRPr="00C17454">
          <w:rPr>
            <w:rStyle w:val="Hyperlink"/>
            <w:rFonts w:hint="eastAsia"/>
            <w:noProof/>
            <w:rtl/>
          </w:rPr>
          <w:t>ن</w:t>
        </w:r>
        <w:r w:rsidR="00517E0F" w:rsidRPr="00C17454">
          <w:rPr>
            <w:rStyle w:val="Hyperlink"/>
            <w:noProof/>
            <w:rtl/>
          </w:rPr>
          <w:t xml:space="preserve"> </w:t>
        </w:r>
        <w:r w:rsidR="00517E0F" w:rsidRPr="00C17454">
          <w:rPr>
            <w:rStyle w:val="Hyperlink"/>
            <w:rFonts w:hint="eastAsia"/>
            <w:noProof/>
            <w:rtl/>
          </w:rPr>
          <w:t>باب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_Toc432144256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2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4257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عدم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کفالت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حد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_Toc432144257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2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4258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517E0F" w:rsidRPr="00C17454">
          <w:rPr>
            <w:rStyle w:val="Hyperlink"/>
            <w:rFonts w:ascii="IRBadr" w:hAnsi="IRBadr" w:cs="IRBadr" w:hint="cs"/>
            <w:noProof/>
            <w:rtl/>
          </w:rPr>
          <w:t>ی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_Toc432144258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3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4259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517E0F" w:rsidRPr="00C17454">
          <w:rPr>
            <w:rStyle w:val="Hyperlink"/>
            <w:rFonts w:ascii="IRBadr" w:hAnsi="IRBadr" w:cs="IRBadr" w:hint="cs"/>
            <w:noProof/>
            <w:rtl/>
          </w:rPr>
          <w:t>ی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_Toc432144259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3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4260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517E0F" w:rsidRPr="00C17454">
          <w:rPr>
            <w:rStyle w:val="Hyperlink"/>
            <w:rFonts w:ascii="IRBadr" w:hAnsi="IRBadr" w:cs="IRBadr" w:hint="cs"/>
            <w:noProof/>
            <w:rtl/>
          </w:rPr>
          <w:t>ی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سوم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_Toc432144260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3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4261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517E0F" w:rsidRPr="00C17454">
          <w:rPr>
            <w:rStyle w:val="Hyperlink"/>
            <w:rFonts w:ascii="IRBadr" w:hAnsi="IRBadr" w:cs="IRBadr" w:hint="cs"/>
            <w:noProof/>
            <w:rtl/>
          </w:rPr>
          <w:t>ی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چهارم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_Toc432144261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4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4262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احتمالات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517E0F" w:rsidRPr="00C17454">
          <w:rPr>
            <w:rStyle w:val="Hyperlink"/>
            <w:rFonts w:ascii="IRBadr" w:hAnsi="IRBadr" w:cs="IRBadr" w:hint="cs"/>
            <w:noProof/>
            <w:rtl/>
          </w:rPr>
          <w:t>ی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ات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_Toc432144262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4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4263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_Toc432144263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4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4264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معنا</w:t>
        </w:r>
        <w:r w:rsidR="00517E0F" w:rsidRPr="00C17454">
          <w:rPr>
            <w:rStyle w:val="Hyperlink"/>
            <w:rFonts w:ascii="IRBadr" w:hAnsi="IRBadr" w:cs="IRBadr" w:hint="cs"/>
            <w:noProof/>
            <w:rtl/>
          </w:rPr>
          <w:t>ی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عدم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ارث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حد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_Toc432144264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5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4265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_Toc432144265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5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4266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517E0F" w:rsidRPr="00C17454">
          <w:rPr>
            <w:rStyle w:val="Hyperlink"/>
            <w:rFonts w:ascii="IRBadr" w:hAnsi="IRBadr" w:cs="IRBadr" w:hint="cs"/>
            <w:noProof/>
            <w:rtl/>
          </w:rPr>
          <w:t>ی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_Toc432144266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5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4267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517E0F" w:rsidRPr="00C17454">
          <w:rPr>
            <w:rStyle w:val="Hyperlink"/>
            <w:rFonts w:ascii="IRBadr" w:hAnsi="IRBadr" w:cs="IRBadr" w:hint="cs"/>
            <w:noProof/>
            <w:rtl/>
          </w:rPr>
          <w:t>ی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_Toc432144267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5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F14753" w:rsidP="00517E0F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4268" w:history="1"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خطبه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اخلاق</w:t>
        </w:r>
        <w:r w:rsidR="00517E0F" w:rsidRPr="00C17454">
          <w:rPr>
            <w:rStyle w:val="Hyperlink"/>
            <w:rFonts w:ascii="IRBadr" w:hAnsi="IRBadr" w:cs="IRBadr" w:hint="cs"/>
            <w:noProof/>
            <w:rtl/>
          </w:rPr>
          <w:t>ی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نهج</w:t>
        </w:r>
        <w:r w:rsidR="00517E0F" w:rsidRPr="00C17454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17E0F" w:rsidRPr="00C17454">
          <w:rPr>
            <w:rStyle w:val="Hyperlink"/>
            <w:rFonts w:ascii="IRBadr" w:hAnsi="IRBadr" w:cs="IRBadr" w:hint="eastAsia"/>
            <w:noProof/>
            <w:rtl/>
          </w:rPr>
          <w:t>البلاغه</w:t>
        </w:r>
        <w:r w:rsidR="00517E0F">
          <w:rPr>
            <w:noProof/>
            <w:webHidden/>
          </w:rPr>
          <w:tab/>
        </w:r>
        <w:r w:rsidR="00517E0F">
          <w:rPr>
            <w:rStyle w:val="Hyperlink"/>
            <w:noProof/>
            <w:rtl/>
          </w:rPr>
          <w:fldChar w:fldCharType="begin"/>
        </w:r>
        <w:r w:rsidR="00517E0F">
          <w:rPr>
            <w:noProof/>
            <w:webHidden/>
          </w:rPr>
          <w:instrText xml:space="preserve"> PAGEREF _Toc432144268 \h </w:instrText>
        </w:r>
        <w:r w:rsidR="00517E0F">
          <w:rPr>
            <w:rStyle w:val="Hyperlink"/>
            <w:noProof/>
            <w:rtl/>
          </w:rPr>
        </w:r>
        <w:r w:rsidR="00517E0F">
          <w:rPr>
            <w:rStyle w:val="Hyperlink"/>
            <w:noProof/>
            <w:rtl/>
          </w:rPr>
          <w:fldChar w:fldCharType="separate"/>
        </w:r>
        <w:r w:rsidR="00517E0F">
          <w:rPr>
            <w:noProof/>
            <w:webHidden/>
          </w:rPr>
          <w:t>5</w:t>
        </w:r>
        <w:r w:rsidR="00517E0F">
          <w:rPr>
            <w:rStyle w:val="Hyperlink"/>
            <w:noProof/>
            <w:rtl/>
          </w:rPr>
          <w:fldChar w:fldCharType="end"/>
        </w:r>
      </w:hyperlink>
    </w:p>
    <w:p w:rsidR="00517E0F" w:rsidRDefault="00517E0F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17E0F" w:rsidRDefault="00517E0F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C75784" w:rsidRPr="00517E0F" w:rsidRDefault="00C75784" w:rsidP="00517E0F">
      <w:pPr>
        <w:pStyle w:val="Heading1"/>
        <w:spacing w:line="360" w:lineRule="auto"/>
        <w:rPr>
          <w:rFonts w:ascii="IRBadr" w:hAnsi="IRBadr" w:cs="IRBadr"/>
          <w:rtl/>
        </w:rPr>
      </w:pPr>
      <w:bookmarkStart w:id="0" w:name="_Toc432144255"/>
      <w:r w:rsidRPr="00517E0F">
        <w:rPr>
          <w:rFonts w:ascii="IRBadr" w:hAnsi="IRBadr" w:cs="IRBadr"/>
          <w:rtl/>
        </w:rPr>
        <w:lastRenderedPageBreak/>
        <w:t>کفالت در حد</w:t>
      </w:r>
      <w:bookmarkEnd w:id="0"/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در جلسه گذشته گفته شد که در حد قسمی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نخواهد شد.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ازجمله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قواعد دیگر این است که در حد کفالت نیز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کفالت در باب قصاص وجود دارد،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فردی ضمان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و کفیل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که مجرم برای مدتی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به‌جایی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دیگر برود.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در قبال کفالت در این جایگاه فرد به ضرری علیه خود اقدام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که مانعی ندارد.</w:t>
      </w:r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>در مورد کفالت در حد روایتی وجود داشت که ذکر شد؛</w:t>
      </w:r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«مُحَمَّدُ بْنُ عَلِ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مَحْبُوبٍ عَنْ مُحَمَّدِ بْنِ الْحُسَ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عَنْ مُحَمَّدِ بْنِ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الْخَثْعَمِ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غِ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اثِ بْنِ إِبْرَاهِ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جَعْفَرٍ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 قَالَ قَالَ عَلِ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 لَا تَجُوزُ شَهَادَةٌ عَلَ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شَهَادَةٍ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حَدٍّ وَ لَا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فَالَةٌ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حَدٍّ.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517E0F" w:rsidRDefault="00517E0F" w:rsidP="00517E0F">
      <w:pPr>
        <w:pStyle w:val="Heading1"/>
        <w:rPr>
          <w:rtl/>
        </w:rPr>
      </w:pPr>
      <w:bookmarkStart w:id="1" w:name="_Toc432144256"/>
      <w:r>
        <w:rPr>
          <w:rFonts w:hint="cs"/>
          <w:rtl/>
        </w:rPr>
        <w:t>مؤیدیت قواعد در این باب</w:t>
      </w:r>
      <w:bookmarkEnd w:id="1"/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>حتی اگر این دلیل خاص نیز وجود نداشت،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قواعد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نیز همین را اقتضا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چراکه تأخیر در اجرای حدود جایز نیست.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قاعده عدم کفالت در حد دو موطن دارد؛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است که تأخیر جایز نیست و دیگری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است که تأخیر جایز است.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مورد اول روایت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نقش مؤکدیت را داراست.</w:t>
      </w:r>
    </w:p>
    <w:p w:rsidR="00C75784" w:rsidRPr="00517E0F" w:rsidRDefault="00CD130A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C75784" w:rsidRPr="00517E0F">
        <w:rPr>
          <w:rFonts w:ascii="IRBadr" w:hAnsi="IRBadr" w:cs="IRBadr"/>
          <w:sz w:val="28"/>
          <w:szCs w:val="28"/>
          <w:rtl/>
          <w:lang w:bidi="fa-IR"/>
        </w:rPr>
        <w:t xml:space="preserve"> که در اینجا لازم است بدان اشاره شود این است که معمول حدود 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="00C75784" w:rsidRPr="00517E0F">
        <w:rPr>
          <w:rFonts w:ascii="IRBadr" w:hAnsi="IRBadr" w:cs="IRBadr"/>
          <w:sz w:val="28"/>
          <w:szCs w:val="28"/>
          <w:rtl/>
          <w:lang w:bidi="fa-IR"/>
        </w:rPr>
        <w:t xml:space="preserve"> هستند لذا عفو یا تبدل در 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C75784" w:rsidRPr="00517E0F">
        <w:rPr>
          <w:rFonts w:ascii="IRBadr" w:hAnsi="IRBadr" w:cs="IRBadr"/>
          <w:sz w:val="28"/>
          <w:szCs w:val="28"/>
          <w:rtl/>
          <w:lang w:bidi="fa-IR"/>
        </w:rPr>
        <w:t xml:space="preserve"> چندان معنایی ندارد.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C75784" w:rsidRPr="00517E0F">
        <w:rPr>
          <w:rFonts w:ascii="IRBadr" w:hAnsi="IRBadr" w:cs="IRBadr"/>
          <w:sz w:val="28"/>
          <w:szCs w:val="28"/>
          <w:rtl/>
          <w:lang w:bidi="fa-IR"/>
        </w:rPr>
        <w:t xml:space="preserve"> ممکن است کسی در اینجا ادعا کند که روایت مطلق است و تعزیر را نیز دربر 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C75784" w:rsidRPr="00517E0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75784" w:rsidRPr="00517E0F" w:rsidRDefault="00C75784" w:rsidP="00517E0F">
      <w:pPr>
        <w:pStyle w:val="Heading2"/>
        <w:spacing w:line="360" w:lineRule="auto"/>
        <w:rPr>
          <w:rFonts w:ascii="IRBadr" w:hAnsi="IRBadr" w:cs="IRBadr"/>
          <w:rtl/>
        </w:rPr>
      </w:pPr>
      <w:bookmarkStart w:id="2" w:name="_Toc432144257"/>
      <w:r w:rsidRPr="00517E0F">
        <w:rPr>
          <w:rFonts w:ascii="IRBadr" w:hAnsi="IRBadr" w:cs="IRBadr"/>
          <w:rtl/>
        </w:rPr>
        <w:t>مستندات عدم کفالت در حد</w:t>
      </w:r>
      <w:bookmarkEnd w:id="2"/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در قبال عدم کفالت در حدود مستندات وجود دارد که در مقدمات حدود، باب بیست، صفحه سیصد و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سی‌ودو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C75784" w:rsidRPr="00517E0F" w:rsidRDefault="00C75784" w:rsidP="00517E0F">
      <w:pPr>
        <w:pStyle w:val="Heading2"/>
        <w:spacing w:line="360" w:lineRule="auto"/>
        <w:rPr>
          <w:rFonts w:ascii="IRBadr" w:hAnsi="IRBadr" w:cs="IRBadr"/>
          <w:rtl/>
        </w:rPr>
      </w:pPr>
      <w:bookmarkStart w:id="3" w:name="_Toc432144258"/>
      <w:r w:rsidRPr="00517E0F">
        <w:rPr>
          <w:rFonts w:ascii="IRBadr" w:hAnsi="IRBadr" w:cs="IRBadr"/>
          <w:rtl/>
        </w:rPr>
        <w:lastRenderedPageBreak/>
        <w:t>روایت اول</w:t>
      </w:r>
      <w:bookmarkEnd w:id="3"/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>این روایت معتبره است؛</w:t>
      </w:r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«عِدَّةٌ مِنْ أَصْحَابِنَا عَنْ سَهْلِ بْنِ زِ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ادٍ وَ مُحَمَّدُ بْنُ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مُحَمَّدِ بْنِ عِ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عَلِ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جَمِ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عاً عَنِ ابْنِ مَحْبُوبٍ عَنِ ابْنِ رِئَابٍ عَنْ مُحَمَّدِ بْنِ قَ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سٍ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قَالَ: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انَ لِأُمِّ سَلَمَةَ زَوْجَةِ النَّبِ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أَمَةٌ فَسَرَقَتْ مِنْ قَوْمٍ فَأُتِ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بِهَا النَّبِ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فَ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لَّمَتْهُ أُمُّ سَلَمَةَ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فی‌ها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فَقَالَ النَّبِ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 أُمَّ سَلَمَةَ هَذَا حَدٌّ مِنْ حُدُودِ اللَّهِ عَزَّ وَ جَلَّ لَا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ضَ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عُ فَقَطَعَهَا رَسُولُ اللَّهِ ص.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C75784" w:rsidRPr="00517E0F" w:rsidRDefault="00C75784" w:rsidP="00517E0F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2144259"/>
      <w:r w:rsidRPr="00517E0F">
        <w:rPr>
          <w:rFonts w:ascii="IRBadr" w:hAnsi="IRBadr" w:cs="IRBadr"/>
          <w:rtl/>
        </w:rPr>
        <w:t>روایت دوم</w:t>
      </w:r>
      <w:bookmarkEnd w:id="4"/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color w:val="000000"/>
          <w:sz w:val="2"/>
          <w:szCs w:val="2"/>
          <w:lang w:bidi="fa-IR"/>
        </w:rPr>
      </w:pPr>
      <w:r w:rsidRPr="00517E0F">
        <w:rPr>
          <w:rFonts w:ascii="IRBadr" w:eastAsia="Times New Roman" w:hAnsi="IRBadr" w:cs="IRBadr"/>
          <w:sz w:val="28"/>
          <w:szCs w:val="28"/>
          <w:rtl/>
          <w:lang w:bidi="fa-IR"/>
        </w:rPr>
        <w:t>این روایت معتبره نیست؛</w:t>
      </w:r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«عِدَّةٌ مِنْ أَصْحَابِنَا عَنْ سَهْلِ بْنِ زِ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ادٍ عَنِ ابْنِ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نَجْرَانَ عَنْ مُثَنًّ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الْحَنَّاطِ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 قَالَ رَسُولُ اللَّهِ ص لِأُسَامَةَ بْنِ زَ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دٍ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أُسَامَةُ لَا تَشْفَعْ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حَدٍّ.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C75784" w:rsidRPr="00517E0F" w:rsidRDefault="00C75784" w:rsidP="00517E0F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144260"/>
      <w:r w:rsidRPr="00517E0F">
        <w:rPr>
          <w:rFonts w:ascii="IRBadr" w:hAnsi="IRBadr" w:cs="IRBadr"/>
          <w:rtl/>
        </w:rPr>
        <w:t>روایت سوم</w:t>
      </w:r>
      <w:bookmarkEnd w:id="5"/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17E0F">
        <w:rPr>
          <w:rFonts w:ascii="IRBadr" w:eastAsia="Times New Roman" w:hAnsi="IRBadr" w:cs="IRBadr"/>
          <w:sz w:val="28"/>
          <w:szCs w:val="28"/>
          <w:rtl/>
          <w:lang w:bidi="fa-IR"/>
        </w:rPr>
        <w:t>این روایت ظاهراً معتبره است؛</w:t>
      </w:r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«مُحَمَّدُ بْنُ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مُحَمَّدٍ عَنْ عَلِ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الْحَ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 عَنْ أَبَانِ بْنِ عُثْمَانَ عَنْ سَلَمَةَ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انَ أُسَامَةُ بْنُ زَ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دٍ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شْفَعُ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الشَّ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‌ءِ الَّذِ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لَا حَدَّ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فَأُتِ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رَسُولُ اللَّهِ ص بِإِنْسَانٍ قَدْ وَجَبَ عَلَ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 حَدٌّ فَشَفَعَ لَهُ أُسَامَةُ فَقَالَ لَهُ رَسُولُ اللَّهِ ص لَا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شَفَّعُ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حَدٍّ.» 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C75784" w:rsidRPr="00517E0F" w:rsidRDefault="00C75784" w:rsidP="00517E0F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144261"/>
      <w:bookmarkStart w:id="7" w:name="_GoBack"/>
      <w:bookmarkEnd w:id="7"/>
      <w:r w:rsidRPr="00517E0F">
        <w:rPr>
          <w:rFonts w:ascii="IRBadr" w:hAnsi="IRBadr" w:cs="IRBadr"/>
          <w:rtl/>
        </w:rPr>
        <w:t>روایت چهارم</w:t>
      </w:r>
      <w:bookmarkEnd w:id="6"/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النَّوْفَلِ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السَّ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 قَالَ أَمِ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رُ الْمُؤْمِنِ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ع لَا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شْفَعَنَّ أَحَدٌ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حَدٍّ إِذَا بَلَغَ الْإِمَامَ فَإِنَّهُ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هُ وَ اشْفَعْ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مَا لَمْ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بْلُغِ الْإِمَامَ إِذَا رَأَ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 النَّدَمَ وَ اشْفَعْ عِنْدَ الْإِمَامِ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غَ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الْحَدِّ مَعَ الرُّجُوعِ مِنَ الْمَشْفُوعِ لَهُ وَ لَا تَشْفَعْ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حَقِّ امْرِئٍ مُسْلِمٍ وَ لَا غَ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رِهِ إِلَّا بِإِذْنِهِ.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5"/>
      </w:r>
    </w:p>
    <w:p w:rsidR="00C75784" w:rsidRPr="00517E0F" w:rsidRDefault="00C75784" w:rsidP="00517E0F">
      <w:pPr>
        <w:pStyle w:val="Heading3"/>
        <w:spacing w:line="360" w:lineRule="auto"/>
        <w:rPr>
          <w:rFonts w:ascii="IRBadr" w:hAnsi="IRBadr" w:cs="IRBadr"/>
          <w:rtl/>
        </w:rPr>
      </w:pPr>
      <w:bookmarkStart w:id="8" w:name="_Toc432144262"/>
      <w:r w:rsidRPr="00517E0F">
        <w:rPr>
          <w:rFonts w:ascii="IRBadr" w:hAnsi="IRBadr" w:cs="IRBadr"/>
          <w:rtl/>
        </w:rPr>
        <w:t>احتمالات در روایات</w:t>
      </w:r>
      <w:bookmarkEnd w:id="8"/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احتمال اول در این روایات این است که حکم تکلیف وضعی بیان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>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دیگر این است که ناظر به تکلیف شخص است.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احتمال سوم اینکه هردو این امور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</w:p>
    <w:p w:rsidR="00C75784" w:rsidRPr="00517E0F" w:rsidRDefault="00C75784" w:rsidP="00517E0F">
      <w:pPr>
        <w:pStyle w:val="Heading3"/>
        <w:spacing w:line="360" w:lineRule="auto"/>
        <w:rPr>
          <w:rFonts w:ascii="IRBadr" w:hAnsi="IRBadr" w:cs="IRBadr"/>
          <w:rtl/>
        </w:rPr>
      </w:pPr>
      <w:bookmarkStart w:id="9" w:name="_Toc432144263"/>
      <w:r w:rsidRPr="00517E0F">
        <w:rPr>
          <w:rFonts w:ascii="IRBadr" w:hAnsi="IRBadr" w:cs="IRBadr"/>
          <w:rtl/>
        </w:rPr>
        <w:t>اتخاذ مبنا</w:t>
      </w:r>
      <w:bookmarkEnd w:id="9"/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ظاهر امر این است که این حکم شامل تعزیر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و قدر متیقن همان حد است.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شمولش نسبت به تعزیرات قرینه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که در اینجا قرینه برخلاف وجود دارد؛</w:t>
      </w:r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CD130A"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أُسَامَةُ بْنُ زَ</w:t>
      </w:r>
      <w:r w:rsidR="00CD130A"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دٍ </w:t>
      </w:r>
      <w:r w:rsidR="00CD130A"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شْفَعُ فِ</w:t>
      </w:r>
      <w:r w:rsidR="00CD130A"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الشَّ</w:t>
      </w:r>
      <w:r w:rsidR="00CD130A"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‌ءِ الَّذِ</w:t>
      </w:r>
      <w:r w:rsidR="00CD130A"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لَا حَدَّ فِ</w:t>
      </w:r>
      <w:r w:rsidR="00CD130A"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</w:t>
      </w:r>
      <w:r w:rsidR="00CD130A" w:rsidRPr="00517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</w:p>
    <w:p w:rsidR="00C75784" w:rsidRPr="00517E0F" w:rsidRDefault="00C75784" w:rsidP="00517E0F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0" w:name="_Toc432144264"/>
      <w:r w:rsidRPr="00517E0F">
        <w:rPr>
          <w:rFonts w:ascii="IRBadr" w:hAnsi="IRBadr" w:cs="IRBadr"/>
          <w:rtl/>
        </w:rPr>
        <w:lastRenderedPageBreak/>
        <w:t>معنای عدم ارث در حد</w:t>
      </w:r>
      <w:bookmarkEnd w:id="10"/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در قبال حدیث عدم ارث در حد، دو معنا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ارائه نمود؛ یک معنا این است که این حق به دیگران منتقل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و معنی دیگر آن،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بوده که چون از مقوله حقوق الناس است،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آن مطالبه معنا پیدا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75784" w:rsidRPr="00517E0F" w:rsidRDefault="00C75784" w:rsidP="00517E0F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1" w:name="_Toc432144265"/>
      <w:r w:rsidRPr="00517E0F">
        <w:rPr>
          <w:rFonts w:ascii="IRBadr" w:hAnsi="IRBadr" w:cs="IRBadr"/>
          <w:rtl/>
        </w:rPr>
        <w:t>مستندات بحث</w:t>
      </w:r>
      <w:bookmarkEnd w:id="11"/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در این زمینه روایاتی در باب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بیست‌وسه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</w:p>
    <w:p w:rsidR="00C75784" w:rsidRPr="00517E0F" w:rsidRDefault="00C75784" w:rsidP="00517E0F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2" w:name="_Toc432144266"/>
      <w:r w:rsidRPr="00517E0F">
        <w:rPr>
          <w:rFonts w:ascii="IRBadr" w:hAnsi="IRBadr" w:cs="IRBadr"/>
          <w:rtl/>
        </w:rPr>
        <w:t>روایت اول</w:t>
      </w:r>
      <w:bookmarkEnd w:id="12"/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مُحَمَّدِ بْنِ عِ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ابْنِ مَحْبُوبٍ عَنْ هِشَامِ بْنِ سَالِمٍ عَنْ عَمَّارٍ السَّابَاطِ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 سَمِعْتُهُ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قُولُ إِنَّ الْحَدَّ لَا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ورَثُ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مَا تُورَثُ الدِّ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ةُ وَ الْمَالُ وَ الْعَقَارُ وَ لَ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 مَنْ قَامَ بِهِ مِنَ الْوَرَثَةِ فَطَلَبَهُ فَهُوَ وَلِ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هُ وَ مَنْ تَرَ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هُ فَلَمْ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طْلُبْهُ فَلَا حَقَّ لَهُ وَ ذَلِ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مِثْلُ رَجُلٍ قَذَفَ رَجُلًا وَ لِلْمَقْذُوفِ أَخٌ فَإِنْ عَفَا عَنْهُ أَحَدُهُمَا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لِلْآخَرِ أَنْ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طْلُبَهُ بِحَقِّهِ لِأَنَّهَا أُمُّهُمَا جَمِ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عاً وَ الْعَفْوُ لَهُمَا جَمِ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عاً.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6"/>
      </w:r>
    </w:p>
    <w:p w:rsidR="00C75784" w:rsidRPr="00517E0F" w:rsidRDefault="00C75784" w:rsidP="00517E0F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3" w:name="_Toc432144267"/>
      <w:r w:rsidRPr="00517E0F">
        <w:rPr>
          <w:rFonts w:ascii="IRBadr" w:hAnsi="IRBadr" w:cs="IRBadr"/>
          <w:rtl/>
        </w:rPr>
        <w:t>روایت دوم</w:t>
      </w:r>
      <w:bookmarkEnd w:id="13"/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النَّوْفَلِ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السَّ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الْحَدُّ لَا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ورَثُ.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7"/>
      </w:r>
    </w:p>
    <w:p w:rsidR="00C75784" w:rsidRPr="00517E0F" w:rsidRDefault="00C75784" w:rsidP="00517E0F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4" w:name="_Toc432144268"/>
      <w:r w:rsidRPr="00517E0F">
        <w:rPr>
          <w:rFonts w:ascii="IRBadr" w:hAnsi="IRBadr" w:cs="IRBadr"/>
          <w:rtl/>
        </w:rPr>
        <w:t>خطبه اخلاقی نهج البلاغه</w:t>
      </w:r>
      <w:bookmarkEnd w:id="14"/>
    </w:p>
    <w:p w:rsidR="00C75784" w:rsidRPr="00517E0F" w:rsidRDefault="00CD130A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>خطبه‌ای</w:t>
      </w:r>
      <w:r w:rsidR="00C75784" w:rsidRPr="00517E0F">
        <w:rPr>
          <w:rFonts w:ascii="IRBadr" w:hAnsi="IRBadr" w:cs="IRBadr"/>
          <w:sz w:val="28"/>
          <w:szCs w:val="28"/>
          <w:rtl/>
          <w:lang w:bidi="fa-IR"/>
        </w:rPr>
        <w:t xml:space="preserve"> که برای امروز در نظر 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>گرفته‌شده</w:t>
      </w:r>
      <w:r w:rsidR="00C75784" w:rsidRPr="00517E0F">
        <w:rPr>
          <w:rFonts w:ascii="IRBadr" w:hAnsi="IRBadr" w:cs="IRBadr"/>
          <w:sz w:val="28"/>
          <w:szCs w:val="28"/>
          <w:rtl/>
          <w:lang w:bidi="fa-IR"/>
        </w:rPr>
        <w:t xml:space="preserve"> خطبه صد و یازده از 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>نهج‌البلاغه</w:t>
      </w:r>
      <w:r w:rsidR="00C75784" w:rsidRPr="00517E0F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C75784" w:rsidRPr="00517E0F" w:rsidRDefault="00C75784" w:rsidP="00517E0F">
      <w:pPr>
        <w:bidi/>
        <w:spacing w:before="100" w:beforeAutospacing="1" w:after="100" w:afterAutospacing="1" w:line="36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«إِذَا أَصْبَحَتْ لَهُ مُنْتَصِرَةً أَنْ تُمْسِ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لَهُ مُتَنَ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رَةً وَ إِنْ جَانِبٌ مِنْهَا اعْذَوْذَبَ وَ احْلَوْلَ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أَمَرَّ مِنْهَا جَانِبٌ فَأَوْبَ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لَا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نَالُ امْرُؤٌ مِنْ غَضَارَتِهَا رَغَباً إِلَّا أَرْهَقَتْهُ مِنْ نَوَائِبِهَا تَعَباً وَ لَا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مْسِ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مِنْهَا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جَنَاحِ أَمْنٍ إِلَّا أَصْبَحَ عَلَ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قَوَادِمِ خَوْفٍ غَرَّارَةٌ غُرُورٌ مَا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فی‌ها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فَانِ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ةٌ فَانٍ مَنْ عَلَ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هَا لَا خَ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‌ءٍ مِنْ أَزْوَادِهَا إِلَّا التَّقْوَ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مَنْ أَقَلَّ مِنْهَا اسْتَ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ثَرَ مِمَّا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ؤْمِنُهُ وَ مَنِ اسْتَ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ثَرَ مِنْهَا اسْتَ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ثَرَ مِمَّا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وبِقُهُ وَ زَالَ عَمَّا قَلِ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لٍ عَنْهُ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 مِنْ وَاثِقٍ بِهَا قَدْ فَجَعَتْهُ وَ ذِ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طُمَأْنِ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نَةٍ إِلَ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هَا قَدْ صَرَعَتْهُ وَ ذِ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أُبَّهَةٍ قَدْ جَعَلَتْهُ حَقِ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راً وَ ذِ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نَخْوَةٍ قَدْ رَدَّتْهُ ذَلِ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لًا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سلطان‌ها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دُوَلٌ وَ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عیش‌ها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رَنِقٌ وَ عَذْبُهَا أُجَاجٌ وَ حُلْوُهَا صَبِرٌ وَ غِذَاؤُهَا سِمَامٌ وَ أَسْبَابُهَا رِمَامٌ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حی‌ها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بِعَرَضِ مَوْتٍ وَ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صحیح‌ها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بِعَرَضِ سُقْمٍ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ملک‌ها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مَسْلُوبٌ وَ عَزِ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زُهَا مَغْلُوبٌ وَ مَوْفُورُهَا مَنْ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وبٌ وَ جَارُهَا مَحْرُوبٌ أَ لَسْتُمْ فِ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مَسَا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مَنْ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انَ قَبْلَ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 أَطْوَلَ أَعْمَاراً وَ أَبْقَ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آثَاراً وَ أَبْعَدَ آمَالًا وَ أَعَدَّ عَدِ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داً وَ أَ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ثَفَ جُنُوداً تَعَبَّدُوا لِلدُّنْ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أَ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تَعَبُّدٍ وَ آثَرُوهَا أَ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ثَارٍ ثُمَّ ظَعَنُوا عَنْهَا بِغَ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زَادٍ مُبَلِّغٍ وَ لَا ظَهْرٍ قَاطِعٍ فَهَلْ بَلَغَ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 أَنَّ الدُّنْ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سَخَتْ لَهُمْ نَفْساً بِفِدْ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ةٍ أَوْ أَعَانَتْهُمْ بِمَعُونَةٍ أَوْ أَحْسَنَتْ لَهُمْ صُحْبَةً بَلْ أَرْهَقَتْهُمْ بِالْفَوَادِحِ وَ أَوْهَنَتْهُمْ بِالْقَوَارِعِ وَ </w:t>
      </w:r>
      <w:r w:rsidR="00CD130A"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ضَعْضَعَتْهُمْ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» </w:t>
      </w:r>
      <w:r w:rsidRPr="00517E0F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8"/>
      </w:r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>دنیا با انواع شهوات مطوی شده است،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شما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را از آن بر حذر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می‌دارم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>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درواقع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دنیا ظاهری زیبا دارد ولی در ورای آن باطنی است که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به آن رکون داشت.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نعمت آن تداوم ندارد.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مثل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دنیا برای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دل‌بسته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آن همان است که در آیه شریفه فرموده شده؛</w:t>
      </w:r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«إِنَّما مَثَلُ الْحَ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اةِ الدُّنْ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ماءٍ أَنْزَلْناهُ مِنَ السَّماءِ فَاخْتَلَطَ بِهِ نَباتُ الْأَرْضِ مِمَّا 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أْ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لُ النَّاسُ وَ الْأَنْعامُ حَتَّ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إِذا أَخَذَتِ الْأَرْضُ 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زخرف‌ها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ازَّ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نَتْ وَ ظَنَّ أَهْلُها أَنَّهُمْ قادِرُونَ عَلَ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ها أَتاها أَمْرُنا لَ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لًا أَوْ نَهاراً فَجَعَلْناها حَصِ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داً 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أَنْ لَمْ تَغْنَ </w:t>
      </w:r>
      <w:r w:rsidR="00CD130A"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بِالْأَمْسِ</w:t>
      </w:r>
      <w:r w:rsidRPr="00517E0F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517E0F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9"/>
      </w:r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>خداوند بارانی را از آسمان به زمین فرستاد،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آب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بر زمین جاری شد و گیاهان روییدند،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پس‌ازآن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نیز این زمین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به‌سرعت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به خشکی گرایید.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نعمت‌های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دنیا محدود به چند صباحی است و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زوال‌پذیر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پس هر خوشی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سختی‌های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فراوانی خواهد بود که آن را از بین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آیا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شنیده‌اید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کسانی که بدون توشه از این دنیا رفتند برای </w:t>
      </w:r>
      <w:r w:rsidR="00CD130A" w:rsidRPr="00517E0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17E0F">
        <w:rPr>
          <w:rFonts w:ascii="IRBadr" w:hAnsi="IRBadr" w:cs="IRBadr"/>
          <w:sz w:val="28"/>
          <w:szCs w:val="28"/>
          <w:rtl/>
          <w:lang w:bidi="fa-IR"/>
        </w:rPr>
        <w:t xml:space="preserve"> پشتیبانی بوده باشد.</w:t>
      </w:r>
    </w:p>
    <w:p w:rsidR="00C75784" w:rsidRPr="00517E0F" w:rsidRDefault="00C75784" w:rsidP="00517E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517E0F" w:rsidRDefault="00152670" w:rsidP="00517E0F">
      <w:pPr>
        <w:bidi/>
        <w:spacing w:line="360" w:lineRule="auto"/>
        <w:jc w:val="both"/>
        <w:rPr>
          <w:rFonts w:ascii="IRBadr" w:hAnsi="IRBadr" w:cs="IRBadr"/>
          <w:rtl/>
          <w:lang w:bidi="fa-IR"/>
        </w:rPr>
      </w:pPr>
    </w:p>
    <w:sectPr w:rsidR="00152670" w:rsidRPr="00517E0F" w:rsidSect="000D580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53" w:rsidRDefault="00F14753" w:rsidP="000D5800">
      <w:pPr>
        <w:spacing w:after="0" w:line="240" w:lineRule="auto"/>
      </w:pPr>
      <w:r>
        <w:separator/>
      </w:r>
    </w:p>
  </w:endnote>
  <w:endnote w:type="continuationSeparator" w:id="0">
    <w:p w:rsidR="00F14753" w:rsidRDefault="00F14753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53" w:rsidRDefault="00F14753" w:rsidP="00517E0F">
      <w:pPr>
        <w:spacing w:after="0" w:line="240" w:lineRule="auto"/>
        <w:jc w:val="right"/>
      </w:pPr>
      <w:r>
        <w:separator/>
      </w:r>
    </w:p>
  </w:footnote>
  <w:footnote w:type="continuationSeparator" w:id="0">
    <w:p w:rsidR="00F14753" w:rsidRDefault="00F14753" w:rsidP="000D5800">
      <w:pPr>
        <w:spacing w:after="0" w:line="240" w:lineRule="auto"/>
      </w:pPr>
      <w:r>
        <w:continuationSeparator/>
      </w:r>
    </w:p>
  </w:footnote>
  <w:footnote w:id="1">
    <w:p w:rsidR="00C75784" w:rsidRDefault="00C75784" w:rsidP="00C757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071FE">
        <w:rPr>
          <w:rFonts w:ascii="Noor_Titr" w:hAnsi="Noor_Titr" w:cs="B Badr" w:hint="cs"/>
          <w:color w:val="000000" w:themeColor="text1"/>
          <w:rtl/>
        </w:rPr>
        <w:t>تهذ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7071FE">
        <w:rPr>
          <w:rFonts w:ascii="Noor_Titr" w:hAnsi="Noor_Titr" w:cs="B Badr" w:hint="cs"/>
          <w:color w:val="000000" w:themeColor="text1"/>
          <w:rtl/>
        </w:rPr>
        <w:t>ب الأح</w:t>
      </w:r>
      <w:r w:rsidR="00CD130A">
        <w:rPr>
          <w:rFonts w:ascii="Noor_Titr" w:hAnsi="Noor_Titr" w:cs="B Badr" w:hint="cs"/>
          <w:color w:val="000000" w:themeColor="text1"/>
          <w:rtl/>
        </w:rPr>
        <w:t>ک</w:t>
      </w:r>
      <w:r w:rsidRPr="007071FE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CD130A">
        <w:rPr>
          <w:rFonts w:ascii="Noor_Titr" w:hAnsi="Noor_Titr" w:cs="B Badr"/>
          <w:color w:val="000000" w:themeColor="text1"/>
          <w:rtl/>
        </w:rPr>
        <w:t>ج 6</w:t>
      </w:r>
      <w:r w:rsidRPr="007071FE">
        <w:rPr>
          <w:rFonts w:ascii="Noor_Titr" w:hAnsi="Noor_Titr" w:cs="B Badr" w:hint="cs"/>
          <w:color w:val="000000" w:themeColor="text1"/>
          <w:rtl/>
        </w:rPr>
        <w:t>، ص: 256</w:t>
      </w:r>
    </w:p>
  </w:footnote>
  <w:footnote w:id="2">
    <w:p w:rsidR="00C75784" w:rsidRDefault="00C75784" w:rsidP="00C757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071FE">
        <w:rPr>
          <w:rFonts w:ascii="Noor_Titr" w:hAnsi="Noor_Titr" w:cs="B Badr" w:hint="cs"/>
          <w:color w:val="000000" w:themeColor="text1"/>
          <w:rtl/>
        </w:rPr>
        <w:t>ال</w:t>
      </w:r>
      <w:r w:rsidR="00CD130A">
        <w:rPr>
          <w:rFonts w:ascii="Noor_Titr" w:hAnsi="Noor_Titr" w:cs="B Badr" w:hint="cs"/>
          <w:color w:val="000000" w:themeColor="text1"/>
          <w:rtl/>
        </w:rPr>
        <w:t>ک</w:t>
      </w:r>
      <w:r w:rsidRPr="007071FE">
        <w:rPr>
          <w:rFonts w:ascii="Noor_Titr" w:hAnsi="Noor_Titr" w:cs="B Badr" w:hint="cs"/>
          <w:color w:val="000000" w:themeColor="text1"/>
          <w:rtl/>
        </w:rPr>
        <w:t>اف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7071FE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7071FE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D130A">
        <w:rPr>
          <w:rFonts w:ascii="Noor_Titr" w:hAnsi="Noor_Titr" w:cs="B Badr"/>
          <w:color w:val="000000" w:themeColor="text1"/>
          <w:rtl/>
        </w:rPr>
        <w:t>ج 7</w:t>
      </w:r>
      <w:r w:rsidRPr="007071FE">
        <w:rPr>
          <w:rFonts w:ascii="Noor_Titr" w:hAnsi="Noor_Titr" w:cs="B Badr" w:hint="cs"/>
          <w:color w:val="000000" w:themeColor="text1"/>
          <w:rtl/>
        </w:rPr>
        <w:t>، ص: 254</w:t>
      </w:r>
    </w:p>
  </w:footnote>
  <w:footnote w:id="3">
    <w:p w:rsidR="00C75784" w:rsidRDefault="00C75784" w:rsidP="00C757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071FE">
        <w:rPr>
          <w:rFonts w:ascii="Noor_Titr" w:hAnsi="Noor_Titr" w:cs="B Badr" w:hint="cs"/>
          <w:color w:val="000000" w:themeColor="text1"/>
          <w:rtl/>
        </w:rPr>
        <w:t>ال</w:t>
      </w:r>
      <w:r w:rsidR="00CD130A">
        <w:rPr>
          <w:rFonts w:ascii="Noor_Titr" w:hAnsi="Noor_Titr" w:cs="B Badr" w:hint="cs"/>
          <w:color w:val="000000" w:themeColor="text1"/>
          <w:rtl/>
        </w:rPr>
        <w:t>ک</w:t>
      </w:r>
      <w:r w:rsidRPr="007071FE">
        <w:rPr>
          <w:rFonts w:ascii="Noor_Titr" w:hAnsi="Noor_Titr" w:cs="B Badr" w:hint="cs"/>
          <w:color w:val="000000" w:themeColor="text1"/>
          <w:rtl/>
        </w:rPr>
        <w:t>اف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7071FE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7071FE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D130A">
        <w:rPr>
          <w:rFonts w:ascii="Noor_Titr" w:hAnsi="Noor_Titr" w:cs="B Badr"/>
          <w:color w:val="000000" w:themeColor="text1"/>
          <w:rtl/>
        </w:rPr>
        <w:t>ج 7</w:t>
      </w:r>
      <w:r w:rsidRPr="007071FE">
        <w:rPr>
          <w:rFonts w:ascii="Noor_Titr" w:hAnsi="Noor_Titr" w:cs="B Badr" w:hint="cs"/>
          <w:color w:val="000000" w:themeColor="text1"/>
          <w:rtl/>
        </w:rPr>
        <w:t>، ص: 254</w:t>
      </w:r>
    </w:p>
  </w:footnote>
  <w:footnote w:id="4">
    <w:p w:rsidR="00C75784" w:rsidRDefault="00C75784" w:rsidP="00C757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071FE">
        <w:rPr>
          <w:rFonts w:ascii="Noor_Titr" w:hAnsi="Noor_Titr" w:cs="B Badr" w:hint="cs"/>
          <w:color w:val="000000" w:themeColor="text1"/>
          <w:rtl/>
        </w:rPr>
        <w:t>ال</w:t>
      </w:r>
      <w:r w:rsidR="00CD130A">
        <w:rPr>
          <w:rFonts w:ascii="Noor_Titr" w:hAnsi="Noor_Titr" w:cs="B Badr" w:hint="cs"/>
          <w:color w:val="000000" w:themeColor="text1"/>
          <w:rtl/>
        </w:rPr>
        <w:t>ک</w:t>
      </w:r>
      <w:r w:rsidRPr="007071FE">
        <w:rPr>
          <w:rFonts w:ascii="Noor_Titr" w:hAnsi="Noor_Titr" w:cs="B Badr" w:hint="cs"/>
          <w:color w:val="000000" w:themeColor="text1"/>
          <w:rtl/>
        </w:rPr>
        <w:t>اف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7071FE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7071FE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D130A">
        <w:rPr>
          <w:rFonts w:ascii="Noor_Titr" w:hAnsi="Noor_Titr" w:cs="B Badr"/>
          <w:color w:val="000000" w:themeColor="text1"/>
          <w:rtl/>
        </w:rPr>
        <w:t>ج 7</w:t>
      </w:r>
      <w:r w:rsidRPr="007071FE">
        <w:rPr>
          <w:rFonts w:ascii="Noor_Titr" w:hAnsi="Noor_Titr" w:cs="B Badr" w:hint="cs"/>
          <w:color w:val="000000" w:themeColor="text1"/>
          <w:rtl/>
        </w:rPr>
        <w:t>، ص: 254</w:t>
      </w:r>
    </w:p>
  </w:footnote>
  <w:footnote w:id="5">
    <w:p w:rsidR="00C75784" w:rsidRDefault="00C75784" w:rsidP="00C757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071FE">
        <w:rPr>
          <w:rFonts w:ascii="Noor_Titr" w:hAnsi="Noor_Titr" w:cs="B Badr" w:hint="cs"/>
          <w:color w:val="000000" w:themeColor="text1"/>
          <w:rtl/>
        </w:rPr>
        <w:t>ال</w:t>
      </w:r>
      <w:r w:rsidR="00CD130A">
        <w:rPr>
          <w:rFonts w:ascii="Noor_Titr" w:hAnsi="Noor_Titr" w:cs="B Badr" w:hint="cs"/>
          <w:color w:val="000000" w:themeColor="text1"/>
          <w:rtl/>
        </w:rPr>
        <w:t>ک</w:t>
      </w:r>
      <w:r w:rsidRPr="007071FE">
        <w:rPr>
          <w:rFonts w:ascii="Noor_Titr" w:hAnsi="Noor_Titr" w:cs="B Badr" w:hint="cs"/>
          <w:color w:val="000000" w:themeColor="text1"/>
          <w:rtl/>
        </w:rPr>
        <w:t>اف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7071FE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7071FE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D130A">
        <w:rPr>
          <w:rFonts w:ascii="Noor_Titr" w:hAnsi="Noor_Titr" w:cs="B Badr"/>
          <w:color w:val="000000" w:themeColor="text1"/>
          <w:rtl/>
        </w:rPr>
        <w:t>ج 7</w:t>
      </w:r>
      <w:r w:rsidRPr="007071FE">
        <w:rPr>
          <w:rFonts w:ascii="Noor_Titr" w:hAnsi="Noor_Titr" w:cs="B Badr" w:hint="cs"/>
          <w:color w:val="000000" w:themeColor="text1"/>
          <w:rtl/>
        </w:rPr>
        <w:t>، ص: 254</w:t>
      </w:r>
    </w:p>
  </w:footnote>
  <w:footnote w:id="6">
    <w:p w:rsidR="00C75784" w:rsidRDefault="00C75784" w:rsidP="00C757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C447D">
        <w:rPr>
          <w:rFonts w:ascii="Noor_Titr" w:hAnsi="Noor_Titr" w:cs="B Badr" w:hint="cs"/>
          <w:color w:val="000000" w:themeColor="text1"/>
          <w:rtl/>
        </w:rPr>
        <w:t>ال</w:t>
      </w:r>
      <w:r w:rsidR="00CD130A">
        <w:rPr>
          <w:rFonts w:ascii="Noor_Titr" w:hAnsi="Noor_Titr" w:cs="B Badr" w:hint="cs"/>
          <w:color w:val="000000" w:themeColor="text1"/>
          <w:rtl/>
        </w:rPr>
        <w:t>ک</w:t>
      </w:r>
      <w:r w:rsidRPr="00FC447D">
        <w:rPr>
          <w:rFonts w:ascii="Noor_Titr" w:hAnsi="Noor_Titr" w:cs="B Badr" w:hint="cs"/>
          <w:color w:val="000000" w:themeColor="text1"/>
          <w:rtl/>
        </w:rPr>
        <w:t>اف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FC447D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FC447D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D130A">
        <w:rPr>
          <w:rFonts w:ascii="Noor_Titr" w:hAnsi="Noor_Titr" w:cs="B Badr"/>
          <w:color w:val="000000" w:themeColor="text1"/>
          <w:rtl/>
        </w:rPr>
        <w:t>ج 7</w:t>
      </w:r>
      <w:r w:rsidRPr="00FC447D">
        <w:rPr>
          <w:rFonts w:ascii="Noor_Titr" w:hAnsi="Noor_Titr" w:cs="B Badr" w:hint="cs"/>
          <w:color w:val="000000" w:themeColor="text1"/>
          <w:rtl/>
        </w:rPr>
        <w:t>، ص: 255</w:t>
      </w:r>
    </w:p>
  </w:footnote>
  <w:footnote w:id="7">
    <w:p w:rsidR="00C75784" w:rsidRDefault="00C75784" w:rsidP="00C757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C447D">
        <w:rPr>
          <w:rFonts w:ascii="Noor_Titr" w:hAnsi="Noor_Titr" w:cs="B Badr" w:hint="cs"/>
          <w:color w:val="000000" w:themeColor="text1"/>
          <w:rtl/>
        </w:rPr>
        <w:t>الاستبصار ف</w:t>
      </w:r>
      <w:r w:rsidR="00CD130A">
        <w:rPr>
          <w:rFonts w:ascii="Noor_Titr" w:hAnsi="Noor_Titr" w:cs="B Badr" w:hint="cs"/>
          <w:color w:val="000000" w:themeColor="text1"/>
          <w:rtl/>
        </w:rPr>
        <w:t>ی</w:t>
      </w:r>
      <w:r w:rsidRPr="00FC447D">
        <w:rPr>
          <w:rFonts w:ascii="Noor_Titr" w:hAnsi="Noor_Titr" w:cs="B Badr" w:hint="cs"/>
          <w:color w:val="000000" w:themeColor="text1"/>
          <w:rtl/>
        </w:rPr>
        <w:t xml:space="preserve">ما اختلف من الأخبار؛ </w:t>
      </w:r>
      <w:r w:rsidR="00CD130A">
        <w:rPr>
          <w:rFonts w:ascii="Noor_Titr" w:hAnsi="Noor_Titr" w:cs="B Badr"/>
          <w:color w:val="000000" w:themeColor="text1"/>
          <w:rtl/>
        </w:rPr>
        <w:t>ج 4</w:t>
      </w:r>
      <w:r w:rsidRPr="00FC447D">
        <w:rPr>
          <w:rFonts w:ascii="Noor_Titr" w:hAnsi="Noor_Titr" w:cs="B Badr" w:hint="cs"/>
          <w:color w:val="000000" w:themeColor="text1"/>
          <w:rtl/>
        </w:rPr>
        <w:t>، ص: 234</w:t>
      </w:r>
    </w:p>
  </w:footnote>
  <w:footnote w:id="8">
    <w:p w:rsidR="00C75784" w:rsidRDefault="00C75784" w:rsidP="00C757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FC447D">
        <w:rPr>
          <w:rFonts w:ascii="Noor_Titr" w:hAnsi="Noor_Titr" w:cs="B Badr" w:hint="cs"/>
          <w:color w:val="000000" w:themeColor="text1"/>
          <w:rtl/>
        </w:rPr>
        <w:t>نهج البلاغة؛ ص: 128</w:t>
      </w:r>
    </w:p>
  </w:footnote>
  <w:footnote w:id="9">
    <w:p w:rsidR="00C75784" w:rsidRDefault="00C75784" w:rsidP="00C757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7F52E2">
        <w:rPr>
          <w:rFonts w:cs="B Badr" w:hint="cs"/>
          <w:rtl/>
        </w:rPr>
        <w:t>24/یونس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C75784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526F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CD130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75784">
      <w:rPr>
        <w:rFonts w:ascii="IranNastaliq" w:hAnsi="IranNastaliq" w:cs="IranNastaliq" w:hint="cs"/>
        <w:sz w:val="40"/>
        <w:szCs w:val="40"/>
        <w:rtl/>
        <w:lang w:bidi="fa-IR"/>
      </w:rPr>
      <w:t>962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40BA3"/>
    <w:rsid w:val="00366400"/>
    <w:rsid w:val="00392E9A"/>
    <w:rsid w:val="00396F28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E6A9A"/>
    <w:rsid w:val="004F3596"/>
    <w:rsid w:val="00517E0F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A638C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44FB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80643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05E0"/>
    <w:rsid w:val="00A810A5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63F15"/>
    <w:rsid w:val="00B7512E"/>
    <w:rsid w:val="00BB5F7E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5784"/>
    <w:rsid w:val="00C763DD"/>
    <w:rsid w:val="00C84FC0"/>
    <w:rsid w:val="00C9244A"/>
    <w:rsid w:val="00CB5DA3"/>
    <w:rsid w:val="00CD130A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4753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757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7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6E02-8556-46F8-8692-5FE419FF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</cp:revision>
  <dcterms:created xsi:type="dcterms:W3CDTF">2015-10-09T05:26:00Z</dcterms:created>
  <dcterms:modified xsi:type="dcterms:W3CDTF">2015-10-09T05:27:00Z</dcterms:modified>
</cp:coreProperties>
</file>