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AA2547" w:rsidRDefault="00C037D8" w:rsidP="00881854">
      <w:pPr>
        <w:bidi/>
        <w:spacing w:before="100" w:beforeAutospacing="1" w:after="100" w:afterAutospacing="1" w:line="240" w:lineRule="auto"/>
        <w:jc w:val="both"/>
        <w:rPr>
          <w:rFonts w:ascii="IRBadr" w:hAnsi="IRBadr" w:cs="IRBadr"/>
          <w:sz w:val="28"/>
          <w:szCs w:val="28"/>
          <w:rtl/>
          <w:lang w:bidi="fa-IR"/>
        </w:rPr>
      </w:pPr>
      <w:r w:rsidRPr="00AA2547">
        <w:rPr>
          <w:rFonts w:ascii="IRBadr" w:hAnsi="IRBadr" w:cs="IRBadr"/>
          <w:sz w:val="28"/>
          <w:szCs w:val="28"/>
          <w:rtl/>
        </w:rPr>
        <w:t>بسم الله الرحمن الرحی</w:t>
      </w:r>
      <w:r w:rsidR="002B18EB" w:rsidRPr="00AA2547">
        <w:rPr>
          <w:rFonts w:ascii="IRBadr" w:hAnsi="IRBadr" w:cs="IRBadr"/>
          <w:sz w:val="28"/>
          <w:szCs w:val="28"/>
          <w:rtl/>
          <w:lang w:bidi="fa-IR"/>
        </w:rPr>
        <w:t>م</w:t>
      </w:r>
    </w:p>
    <w:p w:rsidR="00842BC3" w:rsidRPr="00AA2547" w:rsidRDefault="004F642F" w:rsidP="00881854">
      <w:pPr>
        <w:bidi/>
        <w:spacing w:before="100" w:beforeAutospacing="1" w:after="100" w:afterAutospacing="1" w:line="240" w:lineRule="auto"/>
        <w:jc w:val="both"/>
        <w:rPr>
          <w:rFonts w:ascii="IRBadr" w:hAnsi="IRBadr" w:cs="IRBadr"/>
          <w:sz w:val="28"/>
          <w:szCs w:val="28"/>
          <w:rtl/>
          <w:lang w:bidi="fa-IR"/>
        </w:rPr>
      </w:pPr>
      <w:r w:rsidRPr="00AA2547">
        <w:rPr>
          <w:rFonts w:ascii="IRBadr" w:hAnsi="IRBadr" w:cs="IRBadr"/>
          <w:sz w:val="28"/>
          <w:szCs w:val="28"/>
          <w:rtl/>
          <w:lang w:bidi="fa-IR"/>
        </w:rPr>
        <w:t>فهرست مطالب:</w:t>
      </w:r>
    </w:p>
    <w:p w:rsidR="003E58EB" w:rsidRPr="00AA2547" w:rsidRDefault="00A14FA7" w:rsidP="003E58EB">
      <w:pPr>
        <w:pStyle w:val="TOC1"/>
        <w:tabs>
          <w:tab w:val="right" w:leader="dot" w:pos="9350"/>
        </w:tabs>
        <w:bidi/>
        <w:rPr>
          <w:rFonts w:ascii="IRBadr" w:hAnsi="IRBadr" w:cs="IRBadr"/>
          <w:noProof/>
          <w:szCs w:val="22"/>
        </w:rPr>
      </w:pPr>
      <w:r w:rsidRPr="00AA2547">
        <w:rPr>
          <w:rFonts w:ascii="IRBadr" w:hAnsi="IRBadr" w:cs="IRBadr"/>
          <w:sz w:val="28"/>
          <w:rtl/>
        </w:rPr>
        <w:fldChar w:fldCharType="begin"/>
      </w:r>
      <w:r w:rsidRPr="00AA2547">
        <w:rPr>
          <w:rFonts w:ascii="IRBadr" w:hAnsi="IRBadr" w:cs="IRBadr"/>
          <w:sz w:val="28"/>
          <w:rtl/>
        </w:rPr>
        <w:instrText xml:space="preserve"> </w:instrText>
      </w:r>
      <w:r w:rsidRPr="00AA2547">
        <w:rPr>
          <w:rFonts w:ascii="IRBadr" w:hAnsi="IRBadr" w:cs="IRBadr"/>
          <w:sz w:val="28"/>
        </w:rPr>
        <w:instrText>TOC</w:instrText>
      </w:r>
      <w:r w:rsidRPr="00AA2547">
        <w:rPr>
          <w:rFonts w:ascii="IRBadr" w:hAnsi="IRBadr" w:cs="IRBadr"/>
          <w:sz w:val="28"/>
          <w:rtl/>
        </w:rPr>
        <w:instrText xml:space="preserve"> \</w:instrText>
      </w:r>
      <w:r w:rsidRPr="00AA2547">
        <w:rPr>
          <w:rFonts w:ascii="IRBadr" w:hAnsi="IRBadr" w:cs="IRBadr"/>
          <w:sz w:val="28"/>
        </w:rPr>
        <w:instrText>o "</w:instrText>
      </w:r>
      <w:r w:rsidRPr="00AA2547">
        <w:rPr>
          <w:rFonts w:ascii="IRBadr" w:hAnsi="IRBadr" w:cs="IRBadr"/>
          <w:sz w:val="28"/>
          <w:rtl/>
        </w:rPr>
        <w:instrText>1-4</w:instrText>
      </w:r>
      <w:r w:rsidRPr="00AA2547">
        <w:rPr>
          <w:rFonts w:ascii="IRBadr" w:hAnsi="IRBadr" w:cs="IRBadr"/>
          <w:sz w:val="28"/>
        </w:rPr>
        <w:instrText>" \h \z \u</w:instrText>
      </w:r>
      <w:r w:rsidRPr="00AA2547">
        <w:rPr>
          <w:rFonts w:ascii="IRBadr" w:hAnsi="IRBadr" w:cs="IRBadr"/>
          <w:sz w:val="28"/>
          <w:rtl/>
        </w:rPr>
        <w:instrText xml:space="preserve"> </w:instrText>
      </w:r>
      <w:r w:rsidRPr="00AA2547">
        <w:rPr>
          <w:rFonts w:ascii="IRBadr" w:hAnsi="IRBadr" w:cs="IRBadr"/>
          <w:sz w:val="28"/>
          <w:rtl/>
        </w:rPr>
        <w:fldChar w:fldCharType="separate"/>
      </w:r>
      <w:hyperlink w:anchor="_Toc427923821" w:history="1">
        <w:r w:rsidR="003E58EB" w:rsidRPr="00AA2547">
          <w:rPr>
            <w:rStyle w:val="Hyperlink"/>
            <w:rFonts w:ascii="IRBadr" w:hAnsi="IRBadr" w:cs="IRBadr"/>
            <w:noProof/>
            <w:rtl/>
          </w:rPr>
          <w:t>نوحه برای میت</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_Toc427923821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2</w:t>
        </w:r>
        <w:r w:rsidR="003E58EB" w:rsidRPr="00AA2547">
          <w:rPr>
            <w:rFonts w:ascii="IRBadr" w:hAnsi="IRBadr" w:cs="IRBadr"/>
            <w:noProof/>
            <w:webHidden/>
          </w:rPr>
          <w:fldChar w:fldCharType="end"/>
        </w:r>
      </w:hyperlink>
    </w:p>
    <w:p w:rsidR="003E58EB" w:rsidRPr="00AA2547" w:rsidRDefault="00CF75B3" w:rsidP="003E58EB">
      <w:pPr>
        <w:pStyle w:val="TOC1"/>
        <w:tabs>
          <w:tab w:val="right" w:leader="dot" w:pos="9350"/>
        </w:tabs>
        <w:bidi/>
        <w:rPr>
          <w:rFonts w:ascii="IRBadr" w:hAnsi="IRBadr" w:cs="IRBadr"/>
          <w:noProof/>
          <w:szCs w:val="22"/>
        </w:rPr>
      </w:pPr>
      <w:hyperlink w:anchor="_Toc427923822" w:history="1">
        <w:r w:rsidR="003E58EB" w:rsidRPr="00AA2547">
          <w:rPr>
            <w:rStyle w:val="Hyperlink"/>
            <w:rFonts w:ascii="IRBadr" w:hAnsi="IRBadr" w:cs="IRBadr"/>
            <w:noProof/>
            <w:rtl/>
          </w:rPr>
          <w:t>بررسی ادله روایات</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_Toc427923822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2</w:t>
        </w:r>
        <w:r w:rsidR="003E58EB" w:rsidRPr="00AA2547">
          <w:rPr>
            <w:rFonts w:ascii="IRBadr" w:hAnsi="IRBadr" w:cs="IRBadr"/>
            <w:noProof/>
            <w:webHidden/>
          </w:rPr>
          <w:fldChar w:fldCharType="end"/>
        </w:r>
      </w:hyperlink>
    </w:p>
    <w:p w:rsidR="003E58EB" w:rsidRPr="00AA2547" w:rsidRDefault="00CF75B3" w:rsidP="003E58EB">
      <w:pPr>
        <w:pStyle w:val="TOC2"/>
        <w:tabs>
          <w:tab w:val="right" w:leader="dot" w:pos="9350"/>
        </w:tabs>
        <w:bidi/>
        <w:rPr>
          <w:rFonts w:ascii="IRBadr" w:hAnsi="IRBadr" w:cs="IRBadr"/>
          <w:noProof/>
          <w:szCs w:val="22"/>
        </w:rPr>
      </w:pPr>
      <w:hyperlink w:anchor="_Toc427923823" w:history="1">
        <w:r w:rsidR="003E58EB" w:rsidRPr="00AA2547">
          <w:rPr>
            <w:rStyle w:val="Hyperlink"/>
            <w:rFonts w:ascii="IRBadr" w:hAnsi="IRBadr" w:cs="IRBadr"/>
            <w:noProof/>
            <w:rtl/>
          </w:rPr>
          <w:t>روایت اول</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_Toc427923823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2</w:t>
        </w:r>
        <w:r w:rsidR="003E58EB" w:rsidRPr="00AA2547">
          <w:rPr>
            <w:rFonts w:ascii="IRBadr" w:hAnsi="IRBadr" w:cs="IRBadr"/>
            <w:noProof/>
            <w:webHidden/>
          </w:rPr>
          <w:fldChar w:fldCharType="end"/>
        </w:r>
      </w:hyperlink>
    </w:p>
    <w:p w:rsidR="003E58EB" w:rsidRPr="00AA2547" w:rsidRDefault="00CF75B3" w:rsidP="003E58EB">
      <w:pPr>
        <w:pStyle w:val="TOC2"/>
        <w:tabs>
          <w:tab w:val="right" w:leader="dot" w:pos="9350"/>
        </w:tabs>
        <w:bidi/>
        <w:rPr>
          <w:rFonts w:ascii="IRBadr" w:hAnsi="IRBadr" w:cs="IRBadr"/>
          <w:noProof/>
          <w:szCs w:val="22"/>
        </w:rPr>
      </w:pPr>
      <w:hyperlink w:anchor="_Toc427923824" w:history="1">
        <w:r w:rsidR="003E58EB" w:rsidRPr="00AA2547">
          <w:rPr>
            <w:rStyle w:val="Hyperlink"/>
            <w:rFonts w:ascii="IRBadr" w:hAnsi="IRBadr" w:cs="IRBadr"/>
            <w:noProof/>
            <w:rtl/>
          </w:rPr>
          <w:t>روایت دوم</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_Toc427923824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2</w:t>
        </w:r>
        <w:r w:rsidR="003E58EB" w:rsidRPr="00AA2547">
          <w:rPr>
            <w:rFonts w:ascii="IRBadr" w:hAnsi="IRBadr" w:cs="IRBadr"/>
            <w:noProof/>
            <w:webHidden/>
          </w:rPr>
          <w:fldChar w:fldCharType="end"/>
        </w:r>
      </w:hyperlink>
    </w:p>
    <w:p w:rsidR="003E58EB" w:rsidRPr="00AA2547" w:rsidRDefault="00CF75B3" w:rsidP="003E58EB">
      <w:pPr>
        <w:pStyle w:val="TOC3"/>
        <w:tabs>
          <w:tab w:val="right" w:leader="dot" w:pos="9350"/>
        </w:tabs>
        <w:bidi/>
        <w:rPr>
          <w:rFonts w:ascii="IRBadr" w:eastAsiaTheme="minorEastAsia" w:hAnsi="IRBadr" w:cs="IRBadr"/>
          <w:noProof/>
          <w:szCs w:val="22"/>
        </w:rPr>
      </w:pPr>
      <w:hyperlink w:anchor="_Toc427923825" w:history="1">
        <w:r w:rsidR="003E58EB" w:rsidRPr="00AA2547">
          <w:rPr>
            <w:rStyle w:val="Hyperlink"/>
            <w:rFonts w:ascii="IRBadr" w:hAnsi="IRBadr" w:cs="IRBadr"/>
            <w:noProof/>
            <w:rtl/>
          </w:rPr>
          <w:t>بررسی روایت از لحاظ سند</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_Toc427923825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3</w:t>
        </w:r>
        <w:r w:rsidR="003E58EB" w:rsidRPr="00AA2547">
          <w:rPr>
            <w:rFonts w:ascii="IRBadr" w:hAnsi="IRBadr" w:cs="IRBadr"/>
            <w:noProof/>
            <w:webHidden/>
          </w:rPr>
          <w:fldChar w:fldCharType="end"/>
        </w:r>
      </w:hyperlink>
    </w:p>
    <w:p w:rsidR="003E58EB" w:rsidRPr="00AA2547" w:rsidRDefault="00CF75B3" w:rsidP="003E58EB">
      <w:pPr>
        <w:pStyle w:val="TOC3"/>
        <w:tabs>
          <w:tab w:val="right" w:leader="dot" w:pos="9350"/>
        </w:tabs>
        <w:bidi/>
        <w:rPr>
          <w:rFonts w:ascii="IRBadr" w:eastAsiaTheme="minorEastAsia" w:hAnsi="IRBadr" w:cs="IRBadr"/>
          <w:noProof/>
          <w:szCs w:val="22"/>
        </w:rPr>
      </w:pPr>
      <w:hyperlink w:anchor="_Toc427923826" w:history="1">
        <w:r w:rsidR="003E58EB" w:rsidRPr="00AA2547">
          <w:rPr>
            <w:rStyle w:val="Hyperlink"/>
            <w:rFonts w:ascii="IRBadr" w:hAnsi="IRBadr" w:cs="IRBadr"/>
            <w:noProof/>
            <w:rtl/>
          </w:rPr>
          <w:t>بررسی روایت از لحاظ دلالت</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_Toc427923826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3</w:t>
        </w:r>
        <w:r w:rsidR="003E58EB" w:rsidRPr="00AA2547">
          <w:rPr>
            <w:rFonts w:ascii="IRBadr" w:hAnsi="IRBadr" w:cs="IRBadr"/>
            <w:noProof/>
            <w:webHidden/>
          </w:rPr>
          <w:fldChar w:fldCharType="end"/>
        </w:r>
      </w:hyperlink>
    </w:p>
    <w:p w:rsidR="003E58EB" w:rsidRPr="00AA2547" w:rsidRDefault="00CF75B3" w:rsidP="003E58EB">
      <w:pPr>
        <w:pStyle w:val="TOC2"/>
        <w:tabs>
          <w:tab w:val="right" w:leader="dot" w:pos="9350"/>
        </w:tabs>
        <w:bidi/>
        <w:rPr>
          <w:rFonts w:ascii="IRBadr" w:hAnsi="IRBadr" w:cs="IRBadr"/>
          <w:noProof/>
          <w:szCs w:val="22"/>
        </w:rPr>
      </w:pPr>
      <w:hyperlink w:anchor="_Toc427923827" w:history="1">
        <w:r w:rsidR="003E58EB" w:rsidRPr="00AA2547">
          <w:rPr>
            <w:rStyle w:val="Hyperlink"/>
            <w:rFonts w:ascii="IRBadr" w:hAnsi="IRBadr" w:cs="IRBadr"/>
            <w:noProof/>
            <w:rtl/>
          </w:rPr>
          <w:t>روایت سوم</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_Toc427923827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3</w:t>
        </w:r>
        <w:r w:rsidR="003E58EB" w:rsidRPr="00AA2547">
          <w:rPr>
            <w:rFonts w:ascii="IRBadr" w:hAnsi="IRBadr" w:cs="IRBadr"/>
            <w:noProof/>
            <w:webHidden/>
          </w:rPr>
          <w:fldChar w:fldCharType="end"/>
        </w:r>
      </w:hyperlink>
    </w:p>
    <w:p w:rsidR="003E58EB" w:rsidRPr="00AA2547" w:rsidRDefault="00CF75B3" w:rsidP="003E58EB">
      <w:pPr>
        <w:pStyle w:val="TOC3"/>
        <w:tabs>
          <w:tab w:val="right" w:leader="dot" w:pos="9350"/>
        </w:tabs>
        <w:bidi/>
        <w:rPr>
          <w:rFonts w:ascii="IRBadr" w:eastAsiaTheme="minorEastAsia" w:hAnsi="IRBadr" w:cs="IRBadr"/>
          <w:noProof/>
          <w:szCs w:val="22"/>
        </w:rPr>
      </w:pPr>
      <w:hyperlink w:anchor="_Toc427923828" w:history="1">
        <w:r w:rsidR="003E58EB" w:rsidRPr="00AA2547">
          <w:rPr>
            <w:rStyle w:val="Hyperlink"/>
            <w:rFonts w:ascii="IRBadr" w:hAnsi="IRBadr" w:cs="IRBadr"/>
            <w:noProof/>
            <w:rtl/>
          </w:rPr>
          <w:t>بررسی روایت از لحاظ سند</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_Toc427923828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4</w:t>
        </w:r>
        <w:r w:rsidR="003E58EB" w:rsidRPr="00AA2547">
          <w:rPr>
            <w:rFonts w:ascii="IRBadr" w:hAnsi="IRBadr" w:cs="IRBadr"/>
            <w:noProof/>
            <w:webHidden/>
          </w:rPr>
          <w:fldChar w:fldCharType="end"/>
        </w:r>
      </w:hyperlink>
    </w:p>
    <w:p w:rsidR="003E58EB" w:rsidRPr="00AA2547" w:rsidRDefault="00CF75B3" w:rsidP="003E58EB">
      <w:pPr>
        <w:pStyle w:val="TOC3"/>
        <w:tabs>
          <w:tab w:val="right" w:leader="dot" w:pos="9350"/>
        </w:tabs>
        <w:bidi/>
        <w:rPr>
          <w:rFonts w:ascii="IRBadr" w:eastAsiaTheme="minorEastAsia" w:hAnsi="IRBadr" w:cs="IRBadr"/>
          <w:noProof/>
          <w:szCs w:val="22"/>
        </w:rPr>
      </w:pPr>
      <w:hyperlink w:anchor="_Toc427923829" w:history="1">
        <w:r w:rsidR="003E58EB" w:rsidRPr="00AA2547">
          <w:rPr>
            <w:rStyle w:val="Hyperlink"/>
            <w:rFonts w:ascii="IRBadr" w:hAnsi="IRBadr" w:cs="IRBadr"/>
            <w:noProof/>
            <w:rtl/>
          </w:rPr>
          <w:t>بررسی روایت از لحاظ دلالت</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_Toc427923829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4</w:t>
        </w:r>
        <w:r w:rsidR="003E58EB" w:rsidRPr="00AA2547">
          <w:rPr>
            <w:rFonts w:ascii="IRBadr" w:hAnsi="IRBadr" w:cs="IRBadr"/>
            <w:noProof/>
            <w:webHidden/>
          </w:rPr>
          <w:fldChar w:fldCharType="end"/>
        </w:r>
      </w:hyperlink>
    </w:p>
    <w:p w:rsidR="003E58EB" w:rsidRPr="00AA2547" w:rsidRDefault="00CF75B3" w:rsidP="003E58EB">
      <w:pPr>
        <w:pStyle w:val="TOC2"/>
        <w:tabs>
          <w:tab w:val="right" w:leader="dot" w:pos="9350"/>
        </w:tabs>
        <w:bidi/>
        <w:rPr>
          <w:rFonts w:ascii="IRBadr" w:hAnsi="IRBadr" w:cs="IRBadr"/>
          <w:noProof/>
          <w:szCs w:val="22"/>
        </w:rPr>
      </w:pPr>
      <w:hyperlink w:anchor="_Toc427923830" w:history="1">
        <w:r w:rsidR="003E58EB" w:rsidRPr="00AA2547">
          <w:rPr>
            <w:rStyle w:val="Hyperlink"/>
            <w:rFonts w:ascii="IRBadr" w:hAnsi="IRBadr" w:cs="IRBadr"/>
            <w:noProof/>
            <w:rtl/>
          </w:rPr>
          <w:t>روایت چهارم</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_Toc427923830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5</w:t>
        </w:r>
        <w:r w:rsidR="003E58EB" w:rsidRPr="00AA2547">
          <w:rPr>
            <w:rFonts w:ascii="IRBadr" w:hAnsi="IRBadr" w:cs="IRBadr"/>
            <w:noProof/>
            <w:webHidden/>
          </w:rPr>
          <w:fldChar w:fldCharType="end"/>
        </w:r>
      </w:hyperlink>
    </w:p>
    <w:p w:rsidR="003E58EB" w:rsidRPr="00AA2547" w:rsidRDefault="00CF75B3" w:rsidP="003E58EB">
      <w:pPr>
        <w:pStyle w:val="TOC3"/>
        <w:tabs>
          <w:tab w:val="right" w:leader="dot" w:pos="9350"/>
        </w:tabs>
        <w:bidi/>
        <w:rPr>
          <w:rFonts w:ascii="IRBadr" w:eastAsiaTheme="minorEastAsia" w:hAnsi="IRBadr" w:cs="IRBadr"/>
          <w:noProof/>
          <w:szCs w:val="22"/>
        </w:rPr>
      </w:pPr>
      <w:hyperlink w:anchor="_Toc427923831" w:history="1">
        <w:r w:rsidR="003E58EB" w:rsidRPr="00AA2547">
          <w:rPr>
            <w:rStyle w:val="Hyperlink"/>
            <w:rFonts w:ascii="IRBadr" w:hAnsi="IRBadr" w:cs="IRBadr"/>
            <w:noProof/>
            <w:rtl/>
          </w:rPr>
          <w:t>بررسی روایت از لحاظ دلالت</w:t>
        </w:r>
        <w:r w:rsidR="003E58EB" w:rsidRPr="00AA2547">
          <w:rPr>
            <w:rFonts w:ascii="IRBadr" w:hAnsi="IRBadr" w:cs="IRBadr"/>
            <w:noProof/>
            <w:webHidden/>
          </w:rPr>
          <w:tab/>
        </w:r>
        <w:r w:rsidR="003E58EB" w:rsidRPr="00AA2547">
          <w:rPr>
            <w:rFonts w:ascii="IRBadr" w:hAnsi="IRBadr" w:cs="IRBadr"/>
            <w:noProof/>
            <w:webHidden/>
          </w:rPr>
          <w:fldChar w:fldCharType="begin"/>
        </w:r>
        <w:r w:rsidR="003E58EB" w:rsidRPr="00AA2547">
          <w:rPr>
            <w:rFonts w:ascii="IRBadr" w:hAnsi="IRBadr" w:cs="IRBadr"/>
            <w:noProof/>
            <w:webHidden/>
          </w:rPr>
          <w:instrText xml:space="preserve"> PAGEREF _Toc427923831 \h </w:instrText>
        </w:r>
        <w:r w:rsidR="003E58EB" w:rsidRPr="00AA2547">
          <w:rPr>
            <w:rFonts w:ascii="IRBadr" w:hAnsi="IRBadr" w:cs="IRBadr"/>
            <w:noProof/>
            <w:webHidden/>
          </w:rPr>
        </w:r>
        <w:r w:rsidR="003E58EB" w:rsidRPr="00AA2547">
          <w:rPr>
            <w:rFonts w:ascii="IRBadr" w:hAnsi="IRBadr" w:cs="IRBadr"/>
            <w:noProof/>
            <w:webHidden/>
          </w:rPr>
          <w:fldChar w:fldCharType="separate"/>
        </w:r>
        <w:r w:rsidR="003E58EB" w:rsidRPr="00AA2547">
          <w:rPr>
            <w:rFonts w:ascii="IRBadr" w:hAnsi="IRBadr" w:cs="IRBadr"/>
            <w:noProof/>
            <w:webHidden/>
          </w:rPr>
          <w:t>5</w:t>
        </w:r>
        <w:r w:rsidR="003E58EB" w:rsidRPr="00AA2547">
          <w:rPr>
            <w:rFonts w:ascii="IRBadr" w:hAnsi="IRBadr" w:cs="IRBadr"/>
            <w:noProof/>
            <w:webHidden/>
          </w:rPr>
          <w:fldChar w:fldCharType="end"/>
        </w:r>
      </w:hyperlink>
    </w:p>
    <w:p w:rsidR="00B33397" w:rsidRPr="00AA2547" w:rsidRDefault="00A14FA7" w:rsidP="003E58EB">
      <w:pPr>
        <w:pStyle w:val="Heading1"/>
        <w:rPr>
          <w:rFonts w:ascii="IRBadr" w:hAnsi="IRBadr"/>
          <w:bCs w:val="0"/>
          <w:rtl/>
        </w:rPr>
      </w:pPr>
      <w:r w:rsidRPr="00AA2547">
        <w:rPr>
          <w:rFonts w:ascii="IRBadr" w:hAnsi="IRBadr"/>
          <w:rtl/>
        </w:rPr>
        <w:fldChar w:fldCharType="end"/>
      </w:r>
      <w:r w:rsidR="00B33397" w:rsidRPr="00AA2547">
        <w:rPr>
          <w:rFonts w:ascii="IRBadr" w:hAnsi="IRBadr"/>
          <w:rtl/>
        </w:rPr>
        <w:br w:type="page"/>
      </w:r>
    </w:p>
    <w:p w:rsidR="00833847" w:rsidRPr="00AA2547" w:rsidRDefault="00D00213" w:rsidP="00306F72">
      <w:pPr>
        <w:pStyle w:val="Heading1"/>
        <w:rPr>
          <w:rFonts w:ascii="IRBadr" w:hAnsi="IRBadr"/>
        </w:rPr>
      </w:pPr>
      <w:bookmarkStart w:id="0" w:name="_Toc427923821"/>
      <w:r w:rsidRPr="00AA2547">
        <w:rPr>
          <w:rFonts w:ascii="IRBadr" w:hAnsi="IRBadr"/>
          <w:rtl/>
        </w:rPr>
        <w:lastRenderedPageBreak/>
        <w:t>نوحه برای میت</w:t>
      </w:r>
      <w:bookmarkEnd w:id="0"/>
    </w:p>
    <w:p w:rsidR="00CC061F" w:rsidRPr="00AA2547" w:rsidRDefault="003E58EB" w:rsidP="00881854">
      <w:pPr>
        <w:bidi/>
        <w:jc w:val="both"/>
        <w:rPr>
          <w:rFonts w:ascii="IRBadr" w:hAnsi="IRBadr" w:cs="IRBadr"/>
          <w:sz w:val="28"/>
          <w:szCs w:val="28"/>
          <w:rtl/>
          <w:lang w:bidi="fa-IR"/>
        </w:rPr>
      </w:pPr>
      <w:r w:rsidRPr="00AA2547">
        <w:rPr>
          <w:rFonts w:ascii="IRBadr" w:hAnsi="IRBadr" w:cs="IRBadr"/>
          <w:sz w:val="28"/>
          <w:szCs w:val="28"/>
          <w:rtl/>
          <w:lang w:bidi="fa-IR"/>
        </w:rPr>
        <w:t>همان‌طور</w:t>
      </w:r>
      <w:r w:rsidR="00D00213" w:rsidRPr="00AA2547">
        <w:rPr>
          <w:rFonts w:ascii="IRBadr" w:hAnsi="IRBadr" w:cs="IRBadr"/>
          <w:sz w:val="28"/>
          <w:szCs w:val="28"/>
          <w:rtl/>
          <w:lang w:bidi="fa-IR"/>
        </w:rPr>
        <w:t xml:space="preserve"> که عرض کردیم نوحه برای میت که همان شیون و زاری در قالب شعر</w:t>
      </w:r>
      <w:r w:rsidRPr="00AA2547">
        <w:rPr>
          <w:rFonts w:ascii="IRBadr" w:hAnsi="IRBadr" w:cs="IRBadr"/>
          <w:sz w:val="28"/>
          <w:szCs w:val="28"/>
          <w:rtl/>
          <w:lang w:bidi="fa-IR"/>
        </w:rPr>
        <w:t xml:space="preserve"> </w:t>
      </w:r>
      <w:r w:rsidR="00D00213" w:rsidRPr="00AA2547">
        <w:rPr>
          <w:rFonts w:ascii="IRBadr" w:hAnsi="IRBadr" w:cs="IRBadr"/>
          <w:sz w:val="28"/>
          <w:szCs w:val="28"/>
          <w:rtl/>
          <w:lang w:bidi="fa-IR"/>
        </w:rPr>
        <w:t xml:space="preserve">و ... مورد اختلاف بین شیعه </w:t>
      </w:r>
      <w:r w:rsidRPr="00AA2547">
        <w:rPr>
          <w:rFonts w:ascii="IRBadr" w:hAnsi="IRBadr" w:cs="IRBadr"/>
          <w:sz w:val="28"/>
          <w:szCs w:val="28"/>
          <w:rtl/>
          <w:lang w:bidi="fa-IR"/>
        </w:rPr>
        <w:t>و سنی</w:t>
      </w:r>
      <w:r w:rsidR="00D00213" w:rsidRPr="00AA2547">
        <w:rPr>
          <w:rFonts w:ascii="IRBadr" w:hAnsi="IRBadr" w:cs="IRBadr"/>
          <w:sz w:val="28"/>
          <w:szCs w:val="28"/>
          <w:rtl/>
          <w:lang w:bidi="fa-IR"/>
        </w:rPr>
        <w:t xml:space="preserve"> است. مشهور بین عامه، </w:t>
      </w:r>
      <w:r w:rsidR="00180B49" w:rsidRPr="00AA2547">
        <w:rPr>
          <w:rFonts w:ascii="IRBadr" w:hAnsi="IRBadr" w:cs="IRBadr"/>
          <w:sz w:val="28"/>
          <w:szCs w:val="28"/>
          <w:rtl/>
          <w:lang w:bidi="fa-IR"/>
        </w:rPr>
        <w:t>حرمت نوحه بر میت است. البته در بخشی از اهل تسنن جواز داده شده است. اما در نقطه مقابل در خاصه، شیون و زاری برای میت، جواز داده شده است. البته گاهی با کراهت همراه است و گاهی نیز کراهت برایش ذکر نشده است.</w:t>
      </w:r>
    </w:p>
    <w:p w:rsidR="00180B49" w:rsidRPr="00AA2547" w:rsidRDefault="00180B49" w:rsidP="00881854">
      <w:pPr>
        <w:bidi/>
        <w:jc w:val="both"/>
        <w:rPr>
          <w:rFonts w:ascii="IRBadr" w:hAnsi="IRBadr" w:cs="IRBadr"/>
          <w:sz w:val="28"/>
          <w:szCs w:val="28"/>
          <w:rtl/>
          <w:lang w:bidi="fa-IR"/>
        </w:rPr>
      </w:pPr>
      <w:r w:rsidRPr="00AA2547">
        <w:rPr>
          <w:rFonts w:ascii="IRBadr" w:hAnsi="IRBadr" w:cs="IRBadr"/>
          <w:sz w:val="28"/>
          <w:szCs w:val="28"/>
          <w:rtl/>
          <w:lang w:bidi="fa-IR"/>
        </w:rPr>
        <w:t>این بحث در ذیل بحث</w:t>
      </w:r>
      <w:r w:rsidR="009C6F06" w:rsidRPr="00AA2547">
        <w:rPr>
          <w:rFonts w:ascii="IRBadr" w:hAnsi="IRBadr" w:cs="IRBadr"/>
          <w:sz w:val="28"/>
          <w:szCs w:val="28"/>
          <w:rtl/>
          <w:lang w:bidi="fa-IR"/>
        </w:rPr>
        <w:t xml:space="preserve"> عزاداری برای میت قرار </w:t>
      </w:r>
      <w:r w:rsidR="003E58EB" w:rsidRPr="00AA2547">
        <w:rPr>
          <w:rFonts w:ascii="IRBadr" w:hAnsi="IRBadr" w:cs="IRBadr"/>
          <w:sz w:val="28"/>
          <w:szCs w:val="28"/>
          <w:rtl/>
          <w:lang w:bidi="fa-IR"/>
        </w:rPr>
        <w:t>می‌گیرد</w:t>
      </w:r>
      <w:r w:rsidR="009C6F06" w:rsidRPr="00AA2547">
        <w:rPr>
          <w:rFonts w:ascii="IRBadr" w:hAnsi="IRBadr" w:cs="IRBadr"/>
          <w:sz w:val="28"/>
          <w:szCs w:val="28"/>
          <w:rtl/>
          <w:lang w:bidi="fa-IR"/>
        </w:rPr>
        <w:t>. عزاداری بر میت انواع و اقسامی دارد، گریه، لطمه زدن به خود، اقامه مجلس و ... از اقسام عزاداری هستند.</w:t>
      </w:r>
    </w:p>
    <w:p w:rsidR="009C6F06" w:rsidRPr="00AA2547" w:rsidRDefault="009C6F06" w:rsidP="00306F72">
      <w:pPr>
        <w:pStyle w:val="Heading1"/>
        <w:rPr>
          <w:rFonts w:ascii="IRBadr" w:hAnsi="IRBadr"/>
          <w:rtl/>
        </w:rPr>
      </w:pPr>
      <w:bookmarkStart w:id="1" w:name="_Toc427923822"/>
      <w:r w:rsidRPr="00AA2547">
        <w:rPr>
          <w:rFonts w:ascii="IRBadr" w:hAnsi="IRBadr"/>
          <w:rtl/>
        </w:rPr>
        <w:t>بررسی ادله روایات</w:t>
      </w:r>
      <w:bookmarkEnd w:id="1"/>
    </w:p>
    <w:p w:rsidR="009C6F06" w:rsidRPr="00AA2547" w:rsidRDefault="009C6F06" w:rsidP="00306F72">
      <w:pPr>
        <w:pStyle w:val="Heading2"/>
        <w:bidi/>
        <w:rPr>
          <w:rFonts w:ascii="IRBadr" w:hAnsi="IRBadr" w:cs="IRBadr"/>
          <w:rtl/>
        </w:rPr>
      </w:pPr>
      <w:bookmarkStart w:id="2" w:name="_Toc427923823"/>
      <w:r w:rsidRPr="00AA2547">
        <w:rPr>
          <w:rFonts w:ascii="IRBadr" w:hAnsi="IRBadr" w:cs="IRBadr"/>
          <w:rtl/>
        </w:rPr>
        <w:t>روایت اول</w:t>
      </w:r>
      <w:bookmarkEnd w:id="2"/>
    </w:p>
    <w:p w:rsidR="00472E0E" w:rsidRPr="00AA2547" w:rsidRDefault="00472E0E" w:rsidP="00881854">
      <w:pPr>
        <w:bidi/>
        <w:jc w:val="both"/>
        <w:rPr>
          <w:rFonts w:ascii="IRBadr" w:hAnsi="IRBadr" w:cs="IRBadr"/>
          <w:sz w:val="28"/>
          <w:szCs w:val="28"/>
          <w:rtl/>
          <w:lang w:bidi="fa-IR"/>
        </w:rPr>
      </w:pPr>
      <w:r w:rsidRPr="00AA2547">
        <w:rPr>
          <w:rFonts w:ascii="IRBadr" w:hAnsi="IRBadr" w:cs="IRBadr"/>
          <w:sz w:val="28"/>
          <w:szCs w:val="28"/>
          <w:rtl/>
          <w:lang w:bidi="fa-IR"/>
        </w:rPr>
        <w:t xml:space="preserve">اولین روایت گروه مجوزه است. این روایت </w:t>
      </w:r>
      <w:r w:rsidR="00FC4AFA">
        <w:rPr>
          <w:rFonts w:ascii="IRBadr" w:hAnsi="IRBadr" w:cs="IRBadr"/>
          <w:sz w:val="28"/>
          <w:szCs w:val="28"/>
          <w:rtl/>
          <w:lang w:bidi="fa-IR"/>
        </w:rPr>
        <w:t>نوحه‌سرایی</w:t>
      </w:r>
      <w:r w:rsidRPr="00AA2547">
        <w:rPr>
          <w:rFonts w:ascii="IRBadr" w:hAnsi="IRBadr" w:cs="IRBadr"/>
          <w:sz w:val="28"/>
          <w:szCs w:val="28"/>
          <w:rtl/>
          <w:lang w:bidi="fa-IR"/>
        </w:rPr>
        <w:t xml:space="preserve"> را تجویز </w:t>
      </w:r>
      <w:r w:rsidR="003E58EB" w:rsidRPr="00AA2547">
        <w:rPr>
          <w:rFonts w:ascii="IRBadr" w:hAnsi="IRBadr" w:cs="IRBadr"/>
          <w:sz w:val="28"/>
          <w:szCs w:val="28"/>
          <w:rtl/>
          <w:lang w:bidi="fa-IR"/>
        </w:rPr>
        <w:t>می‌کند</w:t>
      </w:r>
      <w:r w:rsidRPr="00AA2547">
        <w:rPr>
          <w:rFonts w:ascii="IRBadr" w:hAnsi="IRBadr" w:cs="IRBadr"/>
          <w:sz w:val="28"/>
          <w:szCs w:val="28"/>
          <w:rtl/>
          <w:lang w:bidi="fa-IR"/>
        </w:rPr>
        <w:t xml:space="preserve"> و به شکلی دلالت بر رجحان </w:t>
      </w:r>
      <w:r w:rsidR="003E58EB" w:rsidRPr="00AA2547">
        <w:rPr>
          <w:rFonts w:ascii="IRBadr" w:hAnsi="IRBadr" w:cs="IRBadr"/>
          <w:sz w:val="28"/>
          <w:szCs w:val="28"/>
          <w:rtl/>
          <w:lang w:bidi="fa-IR"/>
        </w:rPr>
        <w:t>می‌کند</w:t>
      </w:r>
      <w:r w:rsidRPr="00AA2547">
        <w:rPr>
          <w:rFonts w:ascii="IRBadr" w:hAnsi="IRBadr" w:cs="IRBadr"/>
          <w:sz w:val="28"/>
          <w:szCs w:val="28"/>
          <w:rtl/>
          <w:lang w:bidi="fa-IR"/>
        </w:rPr>
        <w:t>.</w:t>
      </w:r>
    </w:p>
    <w:p w:rsidR="005127C0" w:rsidRPr="00AA2547" w:rsidRDefault="003E58EB" w:rsidP="00881854">
      <w:pPr>
        <w:bidi/>
        <w:jc w:val="both"/>
        <w:rPr>
          <w:rFonts w:ascii="IRBadr" w:hAnsi="IRBadr" w:cs="IRBadr"/>
          <w:b/>
          <w:bCs/>
          <w:sz w:val="28"/>
          <w:szCs w:val="28"/>
          <w:rtl/>
          <w:lang w:bidi="fa-IR"/>
        </w:rPr>
      </w:pPr>
      <w:r w:rsidRPr="00AA2547">
        <w:rPr>
          <w:rFonts w:ascii="IRBadr" w:hAnsi="IRBadr" w:cs="IRBadr"/>
          <w:b/>
          <w:bCs/>
          <w:sz w:val="28"/>
          <w:szCs w:val="28"/>
          <w:rtl/>
          <w:lang w:bidi="fa-IR"/>
        </w:rPr>
        <w:t>«</w:t>
      </w:r>
      <w:r w:rsidR="005127C0" w:rsidRPr="00AA2547">
        <w:rPr>
          <w:rFonts w:ascii="IRBadr" w:hAnsi="IRBadr" w:cs="IRBadr"/>
          <w:b/>
          <w:bCs/>
          <w:sz w:val="28"/>
          <w:szCs w:val="28"/>
          <w:rtl/>
          <w:lang w:bidi="fa-IR"/>
        </w:rPr>
        <w:t>مُحَمَّدُ بْنُ يَعْقُوبَ عَنْ عِدَّةٍ مِنْ أَصْحَابِنَا عَنْ أَحْمَدَ بْنِ مُحَمَّدٍ عَنْ عَلِيِّ بْنِ الْحَكَمِ عَنْ يُونُسَ بْنِ يَعْقُوبَ عَنْ أَبِي عَبْدِ اللَّهِ ع قَالَ: قَالَ لِي أَبِي يَا جَعْفَرُ أَوْقِفْ لِي مِنْ مَالِي كَذَا وَ كَذَا لِنَوَادِبَ تَنْدُبُنِي عَشْرَ سِنِينَ بِمِنًى أَيَّامَ مِنًى.</w:t>
      </w:r>
      <w:r w:rsidR="004D279A" w:rsidRPr="00AA2547">
        <w:rPr>
          <w:rFonts w:ascii="IRBadr" w:hAnsi="IRBadr" w:cs="IRBadr"/>
          <w:b/>
          <w:bCs/>
          <w:sz w:val="28"/>
          <w:szCs w:val="28"/>
          <w:rtl/>
          <w:lang w:bidi="fa-IR"/>
        </w:rPr>
        <w:t>»</w:t>
      </w:r>
      <w:r w:rsidR="004D279A" w:rsidRPr="00AA2547">
        <w:rPr>
          <w:rStyle w:val="FootnoteReference"/>
          <w:rFonts w:ascii="IRBadr" w:hAnsi="IRBadr" w:cs="IRBadr"/>
          <w:b/>
          <w:bCs/>
          <w:sz w:val="28"/>
          <w:szCs w:val="28"/>
          <w:rtl/>
          <w:lang w:bidi="fa-IR"/>
        </w:rPr>
        <w:footnoteReference w:id="1"/>
      </w:r>
    </w:p>
    <w:p w:rsidR="00472E0E" w:rsidRPr="00AA2547" w:rsidRDefault="00472E0E" w:rsidP="00306F72">
      <w:pPr>
        <w:pStyle w:val="Heading2"/>
        <w:bidi/>
        <w:rPr>
          <w:rFonts w:ascii="IRBadr" w:hAnsi="IRBadr" w:cs="IRBadr"/>
          <w:rtl/>
        </w:rPr>
      </w:pPr>
      <w:bookmarkStart w:id="4" w:name="_Toc427923824"/>
      <w:r w:rsidRPr="00AA2547">
        <w:rPr>
          <w:rFonts w:ascii="IRBadr" w:hAnsi="IRBadr" w:cs="IRBadr"/>
          <w:rtl/>
        </w:rPr>
        <w:t>روایت دوم</w:t>
      </w:r>
      <w:bookmarkEnd w:id="4"/>
    </w:p>
    <w:p w:rsidR="004D279A" w:rsidRPr="00AA2547" w:rsidRDefault="003E58EB" w:rsidP="00881854">
      <w:pPr>
        <w:bidi/>
        <w:jc w:val="both"/>
        <w:rPr>
          <w:rFonts w:ascii="IRBadr" w:hAnsi="IRBadr" w:cs="IRBadr"/>
          <w:b/>
          <w:bCs/>
          <w:sz w:val="28"/>
          <w:szCs w:val="28"/>
          <w:rtl/>
          <w:lang w:bidi="fa-IR"/>
        </w:rPr>
      </w:pPr>
      <w:r w:rsidRPr="00AA2547">
        <w:rPr>
          <w:rFonts w:ascii="IRBadr" w:hAnsi="IRBadr" w:cs="IRBadr"/>
          <w:b/>
          <w:bCs/>
          <w:sz w:val="28"/>
          <w:szCs w:val="28"/>
          <w:rtl/>
          <w:lang w:bidi="fa-IR"/>
        </w:rPr>
        <w:t>«</w:t>
      </w:r>
      <w:r w:rsidR="004D279A" w:rsidRPr="00AA2547">
        <w:rPr>
          <w:rFonts w:ascii="IRBadr" w:hAnsi="IRBadr" w:cs="IRBadr"/>
          <w:b/>
          <w:bCs/>
          <w:sz w:val="28"/>
          <w:szCs w:val="28"/>
          <w:rtl/>
          <w:lang w:bidi="fa-IR"/>
        </w:rPr>
        <w:t xml:space="preserve">وَ بِالْإِسْنَادِ عَنْ عَلِيِّ بْنِ الْحَكَمِ عَنْ مَالِكِ بْنِ عَطِيَّةَ عَنْ أَبِي حَمْزَةَ عَنْ أَبِي جَعْفَرٍ ع قَالَ: مَاتَ الْوَلِيدُ بْنُ الْمُغِيرَةِ- فَقَالَتْ أُمُّ سَلَمَةَ لِلنَّبِيِّ ص إِنَّ آلَ الْمُغِيرَةِ- قَدْ أَقَامُوا مَنَاحَةً فَأَذْهَبُ إِلَيْهِمْ فَأَذِنَ لَهَا «4» فَلَبِسَتْ ثِيَابَهَا وَ تَهَيَّأَتْ وَ كَانَتْ مِنْ </w:t>
      </w:r>
      <w:r w:rsidRPr="00AA2547">
        <w:rPr>
          <w:rFonts w:ascii="IRBadr" w:hAnsi="IRBadr" w:cs="IRBadr"/>
          <w:b/>
          <w:bCs/>
          <w:sz w:val="28"/>
          <w:szCs w:val="28"/>
          <w:rtl/>
          <w:lang w:bidi="fa-IR"/>
        </w:rPr>
        <w:t>حسن‌ها</w:t>
      </w:r>
      <w:r w:rsidR="004D279A" w:rsidRPr="00AA2547">
        <w:rPr>
          <w:rFonts w:ascii="IRBadr" w:hAnsi="IRBadr" w:cs="IRBadr"/>
          <w:b/>
          <w:bCs/>
          <w:sz w:val="28"/>
          <w:szCs w:val="28"/>
          <w:rtl/>
          <w:lang w:bidi="fa-IR"/>
        </w:rPr>
        <w:t xml:space="preserve"> كَأَنَّهَا جَانٌّ وَ كَانَتْ إِذَا قَامَتْ فَأَرْخَتْ شَعْرَهَا جَلَّلَ جَسَدَهَا وَ عَقَدَتْ بِطَرَفَيْهِ </w:t>
      </w:r>
      <w:r w:rsidRPr="00AA2547">
        <w:rPr>
          <w:rFonts w:ascii="IRBadr" w:hAnsi="IRBadr" w:cs="IRBadr"/>
          <w:b/>
          <w:bCs/>
          <w:sz w:val="28"/>
          <w:szCs w:val="28"/>
          <w:rtl/>
          <w:lang w:bidi="fa-IR"/>
        </w:rPr>
        <w:t>خلخال‌ها</w:t>
      </w:r>
      <w:r w:rsidR="004D279A" w:rsidRPr="00AA2547">
        <w:rPr>
          <w:rFonts w:ascii="IRBadr" w:hAnsi="IRBadr" w:cs="IRBadr"/>
          <w:b/>
          <w:bCs/>
          <w:sz w:val="28"/>
          <w:szCs w:val="28"/>
          <w:rtl/>
          <w:lang w:bidi="fa-IR"/>
        </w:rPr>
        <w:t xml:space="preserve"> فَنَدَبَتِ ابْنَ عَمِّهَا بَيْنَ يَدَيْ رَسُولِ اللَّهِ ص- فَقَالَتْ‏</w:t>
      </w:r>
    </w:p>
    <w:p w:rsidR="004D279A" w:rsidRPr="00AA2547" w:rsidRDefault="004D279A" w:rsidP="00881854">
      <w:pPr>
        <w:jc w:val="right"/>
        <w:rPr>
          <w:rFonts w:ascii="IRBadr" w:hAnsi="IRBadr" w:cs="IRBadr"/>
          <w:b/>
          <w:bCs/>
          <w:sz w:val="28"/>
          <w:szCs w:val="28"/>
          <w:rtl/>
          <w:lang w:bidi="fa-IR"/>
        </w:rPr>
      </w:pPr>
      <w:r w:rsidRPr="00AA2547">
        <w:rPr>
          <w:rFonts w:ascii="IRBadr" w:hAnsi="IRBadr" w:cs="IRBadr"/>
          <w:b/>
          <w:bCs/>
          <w:sz w:val="28"/>
          <w:szCs w:val="28"/>
          <w:rtl/>
          <w:lang w:bidi="fa-IR"/>
        </w:rPr>
        <w:t>أَنْعَى الْوَلِيدَ بْنَ الْوَلِيدِ</w:t>
      </w:r>
      <w:r w:rsidR="003E58EB" w:rsidRPr="00AA2547">
        <w:rPr>
          <w:rFonts w:ascii="IRBadr" w:hAnsi="IRBadr" w:cs="IRBadr"/>
          <w:b/>
          <w:bCs/>
          <w:sz w:val="28"/>
          <w:szCs w:val="28"/>
          <w:rtl/>
          <w:lang w:bidi="fa-IR"/>
        </w:rPr>
        <w:t xml:space="preserve"> </w:t>
      </w:r>
      <w:r w:rsidRPr="00AA2547">
        <w:rPr>
          <w:rFonts w:ascii="IRBadr" w:hAnsi="IRBadr" w:cs="IRBadr"/>
          <w:b/>
          <w:bCs/>
          <w:sz w:val="28"/>
          <w:szCs w:val="28"/>
          <w:rtl/>
          <w:lang w:bidi="fa-IR"/>
        </w:rPr>
        <w:t>أَبَا الْوَلِيدِ فَتَى الْعَشِيرَهْ‏</w:t>
      </w:r>
    </w:p>
    <w:p w:rsidR="004D279A" w:rsidRPr="00AA2547" w:rsidRDefault="004D279A" w:rsidP="00881854">
      <w:pPr>
        <w:bidi/>
        <w:jc w:val="both"/>
        <w:rPr>
          <w:rFonts w:ascii="IRBadr" w:hAnsi="IRBadr" w:cs="IRBadr"/>
          <w:sz w:val="28"/>
          <w:szCs w:val="28"/>
          <w:rtl/>
          <w:lang w:bidi="fa-IR"/>
        </w:rPr>
      </w:pPr>
      <w:r w:rsidRPr="00AA2547">
        <w:rPr>
          <w:rFonts w:ascii="IRBadr" w:hAnsi="IRBadr" w:cs="IRBadr"/>
          <w:b/>
          <w:bCs/>
          <w:sz w:val="28"/>
          <w:szCs w:val="28"/>
          <w:rtl/>
          <w:lang w:bidi="fa-IR"/>
        </w:rPr>
        <w:t>حَامِي الْحَقِيقَةِ مَاجِدٌ</w:t>
      </w:r>
      <w:r w:rsidR="003E58EB" w:rsidRPr="00AA2547">
        <w:rPr>
          <w:rFonts w:ascii="IRBadr" w:hAnsi="IRBadr" w:cs="IRBadr"/>
          <w:b/>
          <w:bCs/>
          <w:sz w:val="28"/>
          <w:szCs w:val="28"/>
          <w:rtl/>
          <w:lang w:bidi="fa-IR"/>
        </w:rPr>
        <w:t xml:space="preserve"> </w:t>
      </w:r>
      <w:r w:rsidRPr="00AA2547">
        <w:rPr>
          <w:rFonts w:ascii="IRBadr" w:hAnsi="IRBadr" w:cs="IRBadr"/>
          <w:b/>
          <w:bCs/>
          <w:sz w:val="28"/>
          <w:szCs w:val="28"/>
          <w:rtl/>
          <w:lang w:bidi="fa-IR"/>
        </w:rPr>
        <w:t>يَسْمُو إِلَى طَلَبِ الْوَتِيرَه‏</w:t>
      </w:r>
    </w:p>
    <w:p w:rsidR="005515BD" w:rsidRPr="00AA2547" w:rsidRDefault="005515BD" w:rsidP="00881854">
      <w:pPr>
        <w:bidi/>
        <w:jc w:val="both"/>
        <w:rPr>
          <w:rFonts w:ascii="IRBadr" w:hAnsi="IRBadr" w:cs="IRBadr"/>
          <w:b/>
          <w:bCs/>
          <w:sz w:val="28"/>
          <w:szCs w:val="28"/>
          <w:rtl/>
          <w:lang w:bidi="fa-IR"/>
        </w:rPr>
      </w:pPr>
      <w:r w:rsidRPr="00AA2547">
        <w:rPr>
          <w:rFonts w:ascii="IRBadr" w:hAnsi="IRBadr" w:cs="IRBadr"/>
          <w:b/>
          <w:bCs/>
          <w:sz w:val="28"/>
          <w:szCs w:val="28"/>
          <w:rtl/>
          <w:lang w:bidi="fa-IR"/>
        </w:rPr>
        <w:lastRenderedPageBreak/>
        <w:t>قَدْ كَانَ غَيْثاً فِي السِّنِينَ</w:t>
      </w:r>
      <w:r w:rsidR="003E58EB" w:rsidRPr="00AA2547">
        <w:rPr>
          <w:rFonts w:ascii="IRBadr" w:hAnsi="IRBadr" w:cs="IRBadr"/>
          <w:b/>
          <w:bCs/>
          <w:sz w:val="28"/>
          <w:szCs w:val="28"/>
          <w:rtl/>
          <w:lang w:bidi="fa-IR"/>
        </w:rPr>
        <w:t xml:space="preserve"> </w:t>
      </w:r>
      <w:r w:rsidRPr="00AA2547">
        <w:rPr>
          <w:rFonts w:ascii="IRBadr" w:hAnsi="IRBadr" w:cs="IRBadr"/>
          <w:b/>
          <w:bCs/>
          <w:sz w:val="28"/>
          <w:szCs w:val="28"/>
          <w:rtl/>
          <w:lang w:bidi="fa-IR"/>
        </w:rPr>
        <w:t>وَ جَعْفَراً</w:t>
      </w:r>
      <w:r w:rsidR="003E58EB" w:rsidRPr="00AA2547">
        <w:rPr>
          <w:rFonts w:ascii="IRBadr" w:hAnsi="IRBadr" w:cs="IRBadr"/>
          <w:b/>
          <w:bCs/>
          <w:sz w:val="28"/>
          <w:szCs w:val="28"/>
          <w:rtl/>
          <w:lang w:bidi="fa-IR"/>
        </w:rPr>
        <w:t xml:space="preserve"> </w:t>
      </w:r>
      <w:r w:rsidRPr="00AA2547">
        <w:rPr>
          <w:rFonts w:ascii="IRBadr" w:hAnsi="IRBadr" w:cs="IRBadr"/>
          <w:b/>
          <w:bCs/>
          <w:sz w:val="28"/>
          <w:szCs w:val="28"/>
          <w:rtl/>
          <w:lang w:bidi="fa-IR"/>
        </w:rPr>
        <w:t>غَدَقاً وَ مِيرَهْ‏</w:t>
      </w:r>
    </w:p>
    <w:p w:rsidR="005515BD" w:rsidRPr="00AA2547" w:rsidRDefault="005515BD" w:rsidP="00881854">
      <w:pPr>
        <w:bidi/>
        <w:jc w:val="both"/>
        <w:rPr>
          <w:rFonts w:ascii="IRBadr" w:hAnsi="IRBadr" w:cs="IRBadr"/>
          <w:b/>
          <w:bCs/>
          <w:sz w:val="28"/>
          <w:szCs w:val="28"/>
          <w:rtl/>
          <w:lang w:bidi="fa-IR"/>
        </w:rPr>
      </w:pPr>
      <w:r w:rsidRPr="00AA2547">
        <w:rPr>
          <w:rFonts w:ascii="IRBadr" w:hAnsi="IRBadr" w:cs="IRBadr"/>
          <w:b/>
          <w:bCs/>
          <w:sz w:val="28"/>
          <w:szCs w:val="28"/>
          <w:rtl/>
          <w:lang w:bidi="fa-IR"/>
        </w:rPr>
        <w:t>- فَمَا عَابَ رَسُولُ اللَّهِ ص ذَلِكَ وَ لَا قَالَ شَيْئاً.»</w:t>
      </w:r>
      <w:r w:rsidRPr="00AA2547">
        <w:rPr>
          <w:rStyle w:val="FootnoteReference"/>
          <w:rFonts w:ascii="IRBadr" w:hAnsi="IRBadr" w:cs="IRBadr"/>
          <w:b/>
          <w:bCs/>
          <w:sz w:val="28"/>
          <w:szCs w:val="28"/>
          <w:rtl/>
          <w:lang w:bidi="fa-IR"/>
        </w:rPr>
        <w:footnoteReference w:id="2"/>
      </w:r>
    </w:p>
    <w:p w:rsidR="001316B5" w:rsidRPr="00AA2547" w:rsidRDefault="00881854" w:rsidP="001316B5">
      <w:pPr>
        <w:bidi/>
        <w:jc w:val="both"/>
        <w:rPr>
          <w:rFonts w:ascii="IRBadr" w:hAnsi="IRBadr" w:cs="IRBadr"/>
          <w:sz w:val="28"/>
          <w:szCs w:val="28"/>
          <w:rtl/>
          <w:lang w:bidi="fa-IR"/>
        </w:rPr>
      </w:pPr>
      <w:r w:rsidRPr="00AA2547">
        <w:rPr>
          <w:rFonts w:ascii="IRBadr" w:hAnsi="IRBadr" w:cs="IRBadr"/>
          <w:sz w:val="28"/>
          <w:szCs w:val="28"/>
          <w:rtl/>
          <w:lang w:bidi="fa-IR"/>
        </w:rPr>
        <w:t xml:space="preserve">در این روایت حضرت اجازه عزاداری به شخص می‌دهد. </w:t>
      </w:r>
      <w:r w:rsidR="001316B5" w:rsidRPr="00AA2547">
        <w:rPr>
          <w:rFonts w:ascii="IRBadr" w:hAnsi="IRBadr" w:cs="IRBadr"/>
          <w:sz w:val="28"/>
          <w:szCs w:val="28"/>
          <w:rtl/>
          <w:lang w:bidi="fa-IR"/>
        </w:rPr>
        <w:t>البته گویا در محضر رسول گرامی اسلام (ص) عزاداری انجام می‌دهد. حضرت نیز عیبی بر وی نگرفت.</w:t>
      </w:r>
    </w:p>
    <w:p w:rsidR="0074689F" w:rsidRPr="00AA2547" w:rsidRDefault="0074689F" w:rsidP="00306F72">
      <w:pPr>
        <w:pStyle w:val="Heading3"/>
        <w:bidi/>
        <w:rPr>
          <w:rFonts w:ascii="IRBadr" w:hAnsi="IRBadr" w:cs="IRBadr"/>
          <w:rtl/>
        </w:rPr>
      </w:pPr>
      <w:bookmarkStart w:id="5" w:name="_Toc427923825"/>
      <w:r w:rsidRPr="00AA2547">
        <w:rPr>
          <w:rFonts w:ascii="IRBadr" w:hAnsi="IRBadr" w:cs="IRBadr"/>
          <w:rtl/>
        </w:rPr>
        <w:t>بررسی روایت از لحاظ سند</w:t>
      </w:r>
      <w:bookmarkEnd w:id="5"/>
    </w:p>
    <w:p w:rsidR="0074689F" w:rsidRPr="00AA2547" w:rsidRDefault="0074689F" w:rsidP="0074689F">
      <w:pPr>
        <w:bidi/>
        <w:jc w:val="both"/>
        <w:rPr>
          <w:rFonts w:ascii="IRBadr" w:hAnsi="IRBadr" w:cs="IRBadr"/>
          <w:sz w:val="28"/>
          <w:szCs w:val="28"/>
          <w:rtl/>
          <w:lang w:bidi="fa-IR"/>
        </w:rPr>
      </w:pPr>
      <w:r w:rsidRPr="00AA2547">
        <w:rPr>
          <w:rFonts w:ascii="IRBadr" w:hAnsi="IRBadr" w:cs="IRBadr"/>
          <w:sz w:val="28"/>
          <w:szCs w:val="28"/>
          <w:rtl/>
          <w:lang w:bidi="fa-IR"/>
        </w:rPr>
        <w:t>سند کاملاً معتبر است.</w:t>
      </w:r>
    </w:p>
    <w:p w:rsidR="0074689F" w:rsidRPr="00AA2547" w:rsidRDefault="0074689F" w:rsidP="00306F72">
      <w:pPr>
        <w:pStyle w:val="Heading3"/>
        <w:bidi/>
        <w:rPr>
          <w:rFonts w:ascii="IRBadr" w:hAnsi="IRBadr" w:cs="IRBadr"/>
          <w:rtl/>
        </w:rPr>
      </w:pPr>
      <w:bookmarkStart w:id="6" w:name="_Toc427923826"/>
      <w:r w:rsidRPr="00AA2547">
        <w:rPr>
          <w:rFonts w:ascii="IRBadr" w:hAnsi="IRBadr" w:cs="IRBadr"/>
          <w:rtl/>
        </w:rPr>
        <w:t>بررسی روایت از لحاظ دلالت</w:t>
      </w:r>
      <w:bookmarkEnd w:id="6"/>
    </w:p>
    <w:p w:rsidR="006F0C96" w:rsidRPr="00AA2547" w:rsidRDefault="00185CB4" w:rsidP="00240F76">
      <w:pPr>
        <w:bidi/>
        <w:jc w:val="both"/>
        <w:rPr>
          <w:rFonts w:ascii="IRBadr" w:hAnsi="IRBadr" w:cs="IRBadr"/>
          <w:sz w:val="28"/>
          <w:szCs w:val="28"/>
          <w:rtl/>
          <w:lang w:bidi="fa-IR"/>
        </w:rPr>
      </w:pPr>
      <w:r w:rsidRPr="00AA2547">
        <w:rPr>
          <w:rFonts w:ascii="IRBadr" w:hAnsi="IRBadr" w:cs="IRBadr"/>
          <w:sz w:val="28"/>
          <w:szCs w:val="28"/>
          <w:rtl/>
          <w:lang w:bidi="fa-IR"/>
        </w:rPr>
        <w:t>نکاتی در دلالت وجود دارد:</w:t>
      </w:r>
    </w:p>
    <w:p w:rsidR="00240F76" w:rsidRPr="00AA2547" w:rsidRDefault="0074689F" w:rsidP="00FC4AFA">
      <w:pPr>
        <w:pStyle w:val="ListParagraph"/>
        <w:numPr>
          <w:ilvl w:val="0"/>
          <w:numId w:val="17"/>
        </w:numPr>
        <w:rPr>
          <w:rtl/>
        </w:rPr>
      </w:pPr>
      <w:r w:rsidRPr="00AA2547">
        <w:rPr>
          <w:rtl/>
        </w:rPr>
        <w:t>وجه دلالت همان سیر</w:t>
      </w:r>
      <w:r w:rsidR="00FC4AFA">
        <w:rPr>
          <w:rFonts w:hint="cs"/>
          <w:rtl/>
        </w:rPr>
        <w:t>ه</w:t>
      </w:r>
      <w:r w:rsidRPr="00AA2547">
        <w:rPr>
          <w:rtl/>
        </w:rPr>
        <w:t xml:space="preserve"> است. یعنی تقریر حضرت است که جزء سنت به حساب می‌آید.</w:t>
      </w:r>
      <w:r w:rsidR="00C36E65" w:rsidRPr="00AA2547">
        <w:rPr>
          <w:rtl/>
        </w:rPr>
        <w:t xml:space="preserve"> چون امام (ع) نیز آن را بیان می‌کند،‌تأک</w:t>
      </w:r>
      <w:r w:rsidR="00240F76" w:rsidRPr="00AA2547">
        <w:rPr>
          <w:rtl/>
        </w:rPr>
        <w:t>د دلالت بر جواز می‌کند.</w:t>
      </w:r>
    </w:p>
    <w:p w:rsidR="00240F76" w:rsidRPr="00AA2547" w:rsidRDefault="00240F76" w:rsidP="00185CB4">
      <w:pPr>
        <w:pStyle w:val="ListParagraph"/>
        <w:numPr>
          <w:ilvl w:val="0"/>
          <w:numId w:val="17"/>
        </w:numPr>
        <w:rPr>
          <w:rtl/>
        </w:rPr>
      </w:pPr>
      <w:r w:rsidRPr="00AA2547">
        <w:rPr>
          <w:rtl/>
        </w:rPr>
        <w:t>نکته‌ی دیگر روایت این است که تنها حکم جواز استفاده می‌شود و چیزی فراتر از جواز</w:t>
      </w:r>
      <w:r w:rsidR="003E58EB" w:rsidRPr="00AA2547">
        <w:rPr>
          <w:rtl/>
        </w:rPr>
        <w:t xml:space="preserve"> </w:t>
      </w:r>
      <w:r w:rsidRPr="00AA2547">
        <w:rPr>
          <w:rtl/>
        </w:rPr>
        <w:t>را بیان نمی‌کند. این روایات اباحه به معنای مطلق را دلالت می‌کند.</w:t>
      </w:r>
    </w:p>
    <w:p w:rsidR="00C45D69" w:rsidRPr="00AA2547" w:rsidRDefault="00C45D69" w:rsidP="00185CB4">
      <w:pPr>
        <w:pStyle w:val="ListParagraph"/>
        <w:numPr>
          <w:ilvl w:val="0"/>
          <w:numId w:val="17"/>
        </w:numPr>
        <w:rPr>
          <w:rtl/>
        </w:rPr>
      </w:pPr>
      <w:r w:rsidRPr="00AA2547">
        <w:rPr>
          <w:rtl/>
        </w:rPr>
        <w:t>نکته دیگر این است که شاید اجازه رسول (ص) به ام سلمه به خاطر ضرورت و عناوین دیگر است.</w:t>
      </w:r>
      <w:r w:rsidR="003E58EB" w:rsidRPr="00AA2547">
        <w:rPr>
          <w:rtl/>
        </w:rPr>
        <w:t xml:space="preserve"> همان‌طور</w:t>
      </w:r>
      <w:r w:rsidRPr="00AA2547">
        <w:rPr>
          <w:rtl/>
        </w:rPr>
        <w:t xml:space="preserve"> که قبلاً بیان کردیم، حکم اولی را ما مدنظر می‌گیریم. </w:t>
      </w:r>
      <w:r w:rsidR="003E58EB" w:rsidRPr="00AA2547">
        <w:rPr>
          <w:rtl/>
        </w:rPr>
        <w:t>علی‌الخصوص</w:t>
      </w:r>
      <w:r w:rsidRPr="00AA2547">
        <w:rPr>
          <w:rtl/>
        </w:rPr>
        <w:t xml:space="preserve"> در اینجا که امام (</w:t>
      </w:r>
      <w:r w:rsidR="00FF7000" w:rsidRPr="00AA2547">
        <w:rPr>
          <w:rtl/>
        </w:rPr>
        <w:t xml:space="preserve">ع) این روایت را بیان می‌کند. اگر در نقل تاریخی معتبر می‌خواندیم، این احتمال شاید </w:t>
      </w:r>
      <w:r w:rsidR="00FC4AFA">
        <w:rPr>
          <w:rtl/>
        </w:rPr>
        <w:t>قابل‌تأمل</w:t>
      </w:r>
      <w:r w:rsidR="00FF7000" w:rsidRPr="00AA2547">
        <w:rPr>
          <w:rtl/>
        </w:rPr>
        <w:t xml:space="preserve"> بود.</w:t>
      </w:r>
      <w:r w:rsidR="003E58EB" w:rsidRPr="00AA2547">
        <w:rPr>
          <w:rtl/>
        </w:rPr>
        <w:t xml:space="preserve"> </w:t>
      </w:r>
      <w:r w:rsidR="00FF7000" w:rsidRPr="00AA2547">
        <w:rPr>
          <w:rtl/>
        </w:rPr>
        <w:t>شاید می‌گفتیم که نه هنوز تمام قوانین اسلام اعلام نشده است.</w:t>
      </w:r>
    </w:p>
    <w:p w:rsidR="00401CFF" w:rsidRPr="00AA2547" w:rsidRDefault="006F0C96" w:rsidP="00185CB4">
      <w:pPr>
        <w:pStyle w:val="ListParagraph"/>
        <w:numPr>
          <w:ilvl w:val="0"/>
          <w:numId w:val="17"/>
        </w:numPr>
        <w:rPr>
          <w:rtl/>
        </w:rPr>
      </w:pPr>
      <w:r w:rsidRPr="00AA2547">
        <w:rPr>
          <w:rtl/>
        </w:rPr>
        <w:t xml:space="preserve">نکته دیگر این است که ندبه و مناحه در روایت آمده است. ندبه و مناحه، </w:t>
      </w:r>
      <w:r w:rsidR="00DF7E4D" w:rsidRPr="00AA2547">
        <w:rPr>
          <w:rtl/>
        </w:rPr>
        <w:t xml:space="preserve">شیون </w:t>
      </w:r>
      <w:r w:rsidRPr="00AA2547">
        <w:rPr>
          <w:rtl/>
        </w:rPr>
        <w:t>‌زدن است.</w:t>
      </w:r>
    </w:p>
    <w:p w:rsidR="00881854" w:rsidRPr="00AA2547" w:rsidRDefault="00185CB4" w:rsidP="00881854">
      <w:pPr>
        <w:bidi/>
        <w:jc w:val="both"/>
        <w:rPr>
          <w:rFonts w:ascii="IRBadr" w:hAnsi="IRBadr" w:cs="IRBadr"/>
          <w:sz w:val="28"/>
          <w:szCs w:val="28"/>
          <w:rtl/>
          <w:lang w:bidi="fa-IR"/>
        </w:rPr>
      </w:pPr>
      <w:r w:rsidRPr="00AA2547">
        <w:rPr>
          <w:rFonts w:ascii="IRBadr" w:hAnsi="IRBadr" w:cs="IRBadr"/>
          <w:sz w:val="28"/>
          <w:szCs w:val="28"/>
          <w:rtl/>
          <w:lang w:bidi="fa-IR"/>
        </w:rPr>
        <w:t xml:space="preserve">دلالت این روایت بر جواز مناحه، واضح‌تر از دلالت روایت اول است. زیرا در روایت اول، در مورد </w:t>
      </w:r>
      <w:r w:rsidR="003E58EB" w:rsidRPr="00AA2547">
        <w:rPr>
          <w:rFonts w:ascii="IRBadr" w:hAnsi="IRBadr" w:cs="IRBadr"/>
          <w:sz w:val="28"/>
          <w:szCs w:val="28"/>
          <w:rtl/>
          <w:lang w:bidi="fa-IR"/>
        </w:rPr>
        <w:t>امام (</w:t>
      </w:r>
      <w:r w:rsidRPr="00AA2547">
        <w:rPr>
          <w:rFonts w:ascii="IRBadr" w:hAnsi="IRBadr" w:cs="IRBadr"/>
          <w:sz w:val="28"/>
          <w:szCs w:val="28"/>
          <w:rtl/>
          <w:lang w:bidi="fa-IR"/>
        </w:rPr>
        <w:t>ع) است. اما این روایت در مورد پسر عم ام سلمه است.</w:t>
      </w:r>
    </w:p>
    <w:p w:rsidR="00B95A4A" w:rsidRPr="00AA2547" w:rsidRDefault="00B95A4A" w:rsidP="00306F72">
      <w:pPr>
        <w:pStyle w:val="Heading2"/>
        <w:bidi/>
        <w:rPr>
          <w:rFonts w:ascii="IRBadr" w:hAnsi="IRBadr" w:cs="IRBadr"/>
          <w:rtl/>
        </w:rPr>
      </w:pPr>
      <w:bookmarkStart w:id="7" w:name="_Toc427923827"/>
      <w:r w:rsidRPr="00AA2547">
        <w:rPr>
          <w:rFonts w:ascii="IRBadr" w:hAnsi="IRBadr" w:cs="IRBadr"/>
          <w:rtl/>
        </w:rPr>
        <w:t>روایت سوم</w:t>
      </w:r>
      <w:bookmarkEnd w:id="7"/>
    </w:p>
    <w:p w:rsidR="00B95A4A" w:rsidRPr="00AA2547" w:rsidRDefault="003E58EB" w:rsidP="00B95A4A">
      <w:pPr>
        <w:rPr>
          <w:rFonts w:ascii="IRBadr" w:hAnsi="IRBadr" w:cs="IRBadr"/>
          <w:b/>
          <w:bCs/>
          <w:sz w:val="28"/>
          <w:szCs w:val="28"/>
          <w:lang w:bidi="fa-IR"/>
        </w:rPr>
      </w:pPr>
      <w:r w:rsidRPr="00AA2547">
        <w:rPr>
          <w:rFonts w:ascii="IRBadr" w:hAnsi="IRBadr" w:cs="IRBadr"/>
          <w:b/>
          <w:bCs/>
          <w:sz w:val="28"/>
          <w:szCs w:val="28"/>
          <w:rtl/>
          <w:lang w:bidi="fa-IR"/>
        </w:rPr>
        <w:t>«</w:t>
      </w:r>
    </w:p>
    <w:p w:rsidR="00B95A4A" w:rsidRPr="00AA2547" w:rsidRDefault="00B95A4A" w:rsidP="00B95A4A">
      <w:pPr>
        <w:bidi/>
        <w:jc w:val="both"/>
        <w:rPr>
          <w:rFonts w:ascii="IRBadr" w:hAnsi="IRBadr" w:cs="IRBadr"/>
          <w:b/>
          <w:bCs/>
          <w:sz w:val="28"/>
          <w:szCs w:val="28"/>
          <w:rtl/>
          <w:lang w:bidi="fa-IR"/>
        </w:rPr>
      </w:pPr>
      <w:r w:rsidRPr="00AA2547">
        <w:rPr>
          <w:rFonts w:ascii="IRBadr" w:hAnsi="IRBadr" w:cs="IRBadr"/>
          <w:b/>
          <w:bCs/>
          <w:sz w:val="28"/>
          <w:szCs w:val="28"/>
          <w:rtl/>
          <w:lang w:bidi="fa-IR"/>
        </w:rPr>
        <w:lastRenderedPageBreak/>
        <w:t xml:space="preserve"> وَ عَنْ عَلِيِّ بْنِ إِبْرَاهِيمَ عَنْ أَبِيهِ وَ عَنْ مُحَمَّدِ بْنِ يَحْيَى عَنْ أَحْمَدَ بْنِ مُحَمَّدٍ عَنْ مُحَمَّدِ بْنِ إِسْمَاعِيلَ جَمِيعاً عَنْ حَنَانِ بْنِ سَدِيرٍ قَالَ: كَانَتِ امْرَأَةٌ مَعَنَا فِي الْحَيِّ وَ لَهَا جَارِيَةٌ نَائِحَةٌ فَجَاءَتْ إِلَى أَبِي فَقَالَتْ يَا عَمِّ أَنْتَ تَعْلَمُ أَنَّ مَعِيشَتِي مِنَ اللَّهِ ثُمَّ مِنْ هَذِهِ الْجَارِيَةِ فَأُحِبُّ أَنْ تَسْأَلَ أَبَا عَبْدِ اللَّهِ عَنْ ذَلِكَ فَإِنْ كَانَ حَلَالًا وَ إِلَّا بِعْتُهَا وَ أَكَلْتُ مِنْ </w:t>
      </w:r>
      <w:r w:rsidR="003E58EB" w:rsidRPr="00AA2547">
        <w:rPr>
          <w:rFonts w:ascii="IRBadr" w:hAnsi="IRBadr" w:cs="IRBadr"/>
          <w:b/>
          <w:bCs/>
          <w:sz w:val="28"/>
          <w:szCs w:val="28"/>
          <w:rtl/>
          <w:lang w:bidi="fa-IR"/>
        </w:rPr>
        <w:t>ثمن‌ها</w:t>
      </w:r>
      <w:r w:rsidRPr="00AA2547">
        <w:rPr>
          <w:rFonts w:ascii="IRBadr" w:hAnsi="IRBadr" w:cs="IRBadr"/>
          <w:b/>
          <w:bCs/>
          <w:sz w:val="28"/>
          <w:szCs w:val="28"/>
          <w:rtl/>
          <w:lang w:bidi="fa-IR"/>
        </w:rPr>
        <w:t xml:space="preserve"> حَتَّى يَأْتِيَ اللَّهُ بِالْفَرَجِ فَقَالَ لَهَا أَبِي وَ اللَّهِ إِنِّي لَأُعْظِمُ أَبَا عَبْدِ اللَّهِ ع- أَنْ أَسْأَلَهُ عَنْ هَذِهِ الْمَسْأَلَةِ قَالَ فَلَمَّا قَدِمْنَا عَلَيْهِ أَخْبَرْتُهُ أَنَا بِذَلِكَ فَقَالَ أَبُو عَبْدِ اللَّهِ ع أَ تُشَارِطُ فَقُلْتُ وَ اللَّهِ مَا أَدْرِي تُشَارِطُ أَمْ لَا فَقَالَ قُلْ لَهَا لَا تُشَارِطْ وَ تَقْبَلُ مَا أُعْطِيَتْ.»</w:t>
      </w:r>
      <w:r w:rsidRPr="00AA2547">
        <w:rPr>
          <w:rStyle w:val="FootnoteReference"/>
          <w:rFonts w:ascii="IRBadr" w:hAnsi="IRBadr" w:cs="IRBadr"/>
          <w:b/>
          <w:bCs/>
          <w:sz w:val="28"/>
          <w:szCs w:val="28"/>
          <w:rtl/>
          <w:lang w:bidi="fa-IR"/>
        </w:rPr>
        <w:footnoteReference w:id="3"/>
      </w:r>
    </w:p>
    <w:p w:rsidR="00B95A4A" w:rsidRPr="00AA2547" w:rsidRDefault="00FC4AFA" w:rsidP="00EE5750">
      <w:pPr>
        <w:bidi/>
        <w:jc w:val="both"/>
        <w:rPr>
          <w:rFonts w:ascii="IRBadr" w:hAnsi="IRBadr" w:cs="IRBadr"/>
          <w:sz w:val="28"/>
          <w:szCs w:val="28"/>
          <w:rtl/>
          <w:lang w:bidi="fa-IR"/>
        </w:rPr>
      </w:pPr>
      <w:r>
        <w:rPr>
          <w:rFonts w:ascii="IRBadr" w:hAnsi="IRBadr" w:cs="IRBadr"/>
          <w:sz w:val="28"/>
          <w:szCs w:val="28"/>
          <w:rtl/>
          <w:lang w:bidi="fa-IR"/>
        </w:rPr>
        <w:t>ایشان نقل می‌کند، در منطقه‌</w:t>
      </w:r>
      <w:r w:rsidR="00EE5750" w:rsidRPr="00AA2547">
        <w:rPr>
          <w:rFonts w:ascii="IRBadr" w:hAnsi="IRBadr" w:cs="IRBadr"/>
          <w:sz w:val="28"/>
          <w:szCs w:val="28"/>
          <w:rtl/>
          <w:lang w:bidi="fa-IR"/>
        </w:rPr>
        <w:t xml:space="preserve"> ما زنی بود، زن کنیزی داشت، کنیز ندبه برای دیگران می‌کرد. این خانم پیش سدیر </w:t>
      </w:r>
      <w:r>
        <w:rPr>
          <w:rFonts w:ascii="IRBadr" w:hAnsi="IRBadr" w:cs="IRBadr"/>
          <w:sz w:val="28"/>
          <w:szCs w:val="28"/>
          <w:rtl/>
          <w:lang w:bidi="fa-IR"/>
        </w:rPr>
        <w:t>آمد و گفت که زندگی من به واسطه‌</w:t>
      </w:r>
      <w:r w:rsidR="00EE5750" w:rsidRPr="00AA2547">
        <w:rPr>
          <w:rFonts w:ascii="IRBadr" w:hAnsi="IRBadr" w:cs="IRBadr"/>
          <w:sz w:val="28"/>
          <w:szCs w:val="28"/>
          <w:rtl/>
          <w:lang w:bidi="fa-IR"/>
        </w:rPr>
        <w:t xml:space="preserve"> همین کنیز انجام می‌شود. این کنیز در مجالس عزا می‌رود و کسب می‌کند</w:t>
      </w:r>
      <w:r>
        <w:rPr>
          <w:rFonts w:ascii="IRBadr" w:hAnsi="IRBadr" w:cs="IRBadr" w:hint="cs"/>
          <w:sz w:val="28"/>
          <w:szCs w:val="28"/>
          <w:rtl/>
          <w:lang w:bidi="fa-IR"/>
        </w:rPr>
        <w:t xml:space="preserve"> </w:t>
      </w:r>
      <w:r w:rsidR="00EE5750" w:rsidRPr="00AA2547">
        <w:rPr>
          <w:rFonts w:ascii="IRBadr" w:hAnsi="IRBadr" w:cs="IRBadr"/>
          <w:sz w:val="28"/>
          <w:szCs w:val="28"/>
          <w:rtl/>
          <w:lang w:bidi="fa-IR"/>
        </w:rPr>
        <w:t xml:space="preserve">و من با درآمد وی زندگی می‌کنم. این خانم به سدیر می‌گوید،‌از امام </w:t>
      </w:r>
      <w:r w:rsidR="003E58EB" w:rsidRPr="00AA2547">
        <w:rPr>
          <w:rFonts w:ascii="IRBadr" w:hAnsi="IRBadr" w:cs="IRBadr"/>
          <w:sz w:val="28"/>
          <w:szCs w:val="28"/>
          <w:rtl/>
          <w:lang w:bidi="fa-IR"/>
        </w:rPr>
        <w:t>صادق (</w:t>
      </w:r>
      <w:r w:rsidR="00EE5750" w:rsidRPr="00AA2547">
        <w:rPr>
          <w:rFonts w:ascii="IRBadr" w:hAnsi="IRBadr" w:cs="IRBadr"/>
          <w:sz w:val="28"/>
          <w:szCs w:val="28"/>
          <w:rtl/>
          <w:lang w:bidi="fa-IR"/>
        </w:rPr>
        <w:t>ع) سؤال کن که آیا این جایز است یا خیر؟ اگر حرام ا</w:t>
      </w:r>
      <w:r>
        <w:rPr>
          <w:rFonts w:ascii="IRBadr" w:hAnsi="IRBadr" w:cs="IRBadr"/>
          <w:sz w:val="28"/>
          <w:szCs w:val="28"/>
          <w:rtl/>
          <w:lang w:bidi="fa-IR"/>
        </w:rPr>
        <w:t>ست، کنیز را می‌فروشم و از ثمره‌</w:t>
      </w:r>
      <w:r w:rsidR="00EE5750" w:rsidRPr="00AA2547">
        <w:rPr>
          <w:rFonts w:ascii="IRBadr" w:hAnsi="IRBadr" w:cs="IRBadr"/>
          <w:sz w:val="28"/>
          <w:szCs w:val="28"/>
          <w:rtl/>
          <w:lang w:bidi="fa-IR"/>
        </w:rPr>
        <w:t xml:space="preserve"> آن زندگی می‌کنم. </w:t>
      </w:r>
      <w:r w:rsidR="00D0100F" w:rsidRPr="00AA2547">
        <w:rPr>
          <w:rFonts w:ascii="IRBadr" w:hAnsi="IRBadr" w:cs="IRBadr"/>
          <w:sz w:val="28"/>
          <w:szCs w:val="28"/>
          <w:rtl/>
          <w:lang w:bidi="fa-IR"/>
        </w:rPr>
        <w:t>سدیر می‌گوید که من خجالت می‌کشیدم از بیان کردن این مطلب، پسرم این سؤال را</w:t>
      </w:r>
      <w:r w:rsidR="00D831DF" w:rsidRPr="00AA2547">
        <w:rPr>
          <w:rFonts w:ascii="IRBadr" w:hAnsi="IRBadr" w:cs="IRBadr"/>
          <w:sz w:val="28"/>
          <w:szCs w:val="28"/>
          <w:rtl/>
          <w:lang w:bidi="fa-IR"/>
        </w:rPr>
        <w:t xml:space="preserve"> </w:t>
      </w:r>
      <w:r>
        <w:rPr>
          <w:rFonts w:ascii="IRBadr" w:hAnsi="IRBadr" w:cs="IRBadr" w:hint="cs"/>
          <w:sz w:val="28"/>
          <w:szCs w:val="28"/>
          <w:rtl/>
          <w:lang w:bidi="fa-IR"/>
        </w:rPr>
        <w:t xml:space="preserve">از </w:t>
      </w:r>
      <w:r w:rsidR="00D831DF" w:rsidRPr="00AA2547">
        <w:rPr>
          <w:rFonts w:ascii="IRBadr" w:hAnsi="IRBadr" w:cs="IRBadr"/>
          <w:sz w:val="28"/>
          <w:szCs w:val="28"/>
          <w:rtl/>
          <w:lang w:bidi="fa-IR"/>
        </w:rPr>
        <w:t>حضرت پرسید، امام (ع) نیز سؤال می‌کند وقتی خانم ناحه را انجام می‌دهد،‌آیا قرارداد می‌بندد</w:t>
      </w:r>
      <w:r w:rsidR="005C3E48" w:rsidRPr="00AA2547">
        <w:rPr>
          <w:rFonts w:ascii="IRBadr" w:hAnsi="IRBadr" w:cs="IRBadr"/>
          <w:sz w:val="28"/>
          <w:szCs w:val="28"/>
          <w:rtl/>
          <w:lang w:bidi="fa-IR"/>
        </w:rPr>
        <w:t>؟ پسر می‌گوید نمی‌دانم.</w:t>
      </w:r>
      <w:r w:rsidR="003E58EB" w:rsidRPr="00AA2547">
        <w:rPr>
          <w:rFonts w:ascii="IRBadr" w:hAnsi="IRBadr" w:cs="IRBadr"/>
          <w:sz w:val="28"/>
          <w:szCs w:val="28"/>
          <w:rtl/>
          <w:lang w:bidi="fa-IR"/>
        </w:rPr>
        <w:t xml:space="preserve"> </w:t>
      </w:r>
      <w:r w:rsidR="005C3E48" w:rsidRPr="00AA2547">
        <w:rPr>
          <w:rFonts w:ascii="IRBadr" w:hAnsi="IRBadr" w:cs="IRBadr"/>
          <w:sz w:val="28"/>
          <w:szCs w:val="28"/>
          <w:rtl/>
          <w:lang w:bidi="fa-IR"/>
        </w:rPr>
        <w:t>امام (ع) می‌فرماید به خانم بگو: شرط نکن،</w:t>
      </w:r>
      <w:r w:rsidR="003E58EB" w:rsidRPr="00AA2547">
        <w:rPr>
          <w:rFonts w:ascii="IRBadr" w:hAnsi="IRBadr" w:cs="IRBadr"/>
          <w:sz w:val="28"/>
          <w:szCs w:val="28"/>
          <w:rtl/>
          <w:lang w:bidi="fa-IR"/>
        </w:rPr>
        <w:t xml:space="preserve"> </w:t>
      </w:r>
      <w:r w:rsidR="005C3E48" w:rsidRPr="00AA2547">
        <w:rPr>
          <w:rFonts w:ascii="IRBadr" w:hAnsi="IRBadr" w:cs="IRBadr"/>
          <w:sz w:val="28"/>
          <w:szCs w:val="28"/>
          <w:rtl/>
          <w:lang w:bidi="fa-IR"/>
        </w:rPr>
        <w:t>توافق نکن و آنچه به او داده می‌شود را بپذیر</w:t>
      </w:r>
      <w:r w:rsidR="00423356" w:rsidRPr="00AA2547">
        <w:rPr>
          <w:rFonts w:ascii="IRBadr" w:hAnsi="IRBadr" w:cs="IRBadr"/>
          <w:sz w:val="28"/>
          <w:szCs w:val="28"/>
          <w:rtl/>
          <w:lang w:bidi="fa-IR"/>
        </w:rPr>
        <w:t>.</w:t>
      </w:r>
    </w:p>
    <w:p w:rsidR="00423356" w:rsidRPr="00AA2547" w:rsidRDefault="00423356" w:rsidP="00306F72">
      <w:pPr>
        <w:pStyle w:val="Heading3"/>
        <w:bidi/>
        <w:rPr>
          <w:rFonts w:ascii="IRBadr" w:hAnsi="IRBadr" w:cs="IRBadr"/>
          <w:rtl/>
        </w:rPr>
      </w:pPr>
      <w:bookmarkStart w:id="8" w:name="_Toc427923828"/>
      <w:r w:rsidRPr="00AA2547">
        <w:rPr>
          <w:rFonts w:ascii="IRBadr" w:hAnsi="IRBadr" w:cs="IRBadr"/>
          <w:rtl/>
        </w:rPr>
        <w:t>بررسی روایت از لحاظ سند</w:t>
      </w:r>
      <w:bookmarkEnd w:id="8"/>
    </w:p>
    <w:p w:rsidR="00423356" w:rsidRPr="00AA2547" w:rsidRDefault="00423356" w:rsidP="00423356">
      <w:pPr>
        <w:bidi/>
        <w:jc w:val="both"/>
        <w:rPr>
          <w:rFonts w:ascii="IRBadr" w:hAnsi="IRBadr" w:cs="IRBadr"/>
          <w:sz w:val="28"/>
          <w:szCs w:val="28"/>
          <w:rtl/>
          <w:lang w:bidi="fa-IR"/>
        </w:rPr>
      </w:pPr>
      <w:r w:rsidRPr="00AA2547">
        <w:rPr>
          <w:rFonts w:ascii="IRBadr" w:hAnsi="IRBadr" w:cs="IRBadr"/>
          <w:sz w:val="28"/>
          <w:szCs w:val="28"/>
          <w:rtl/>
          <w:lang w:bidi="fa-IR"/>
        </w:rPr>
        <w:t xml:space="preserve">این روایت دو سند دارد. </w:t>
      </w:r>
      <w:r w:rsidR="00B246E6" w:rsidRPr="00AA2547">
        <w:rPr>
          <w:rFonts w:ascii="IRBadr" w:hAnsi="IRBadr" w:cs="IRBadr"/>
          <w:sz w:val="28"/>
          <w:szCs w:val="28"/>
          <w:rtl/>
          <w:lang w:bidi="fa-IR"/>
        </w:rPr>
        <w:t xml:space="preserve">یک سند علی بن ابراهیم عن ابیه است. و سند دیگر محمد بن یحیی از احمد بن محمد و محمد بن اسماعیل است. هر دو نفر از حنان بن سدیر </w:t>
      </w:r>
      <w:r w:rsidR="009D674D" w:rsidRPr="00AA2547">
        <w:rPr>
          <w:rFonts w:ascii="IRBadr" w:hAnsi="IRBadr" w:cs="IRBadr"/>
          <w:sz w:val="28"/>
          <w:szCs w:val="28"/>
          <w:rtl/>
          <w:lang w:bidi="fa-IR"/>
        </w:rPr>
        <w:t>نقل می‌کنند. هر دو سند معتبر است.</w:t>
      </w:r>
    </w:p>
    <w:p w:rsidR="009D674D" w:rsidRPr="00AA2547" w:rsidRDefault="009D674D" w:rsidP="00306F72">
      <w:pPr>
        <w:pStyle w:val="Heading3"/>
        <w:bidi/>
        <w:rPr>
          <w:rFonts w:ascii="IRBadr" w:hAnsi="IRBadr" w:cs="IRBadr"/>
          <w:rtl/>
        </w:rPr>
      </w:pPr>
      <w:bookmarkStart w:id="9" w:name="_Toc427923829"/>
      <w:r w:rsidRPr="00AA2547">
        <w:rPr>
          <w:rFonts w:ascii="IRBadr" w:hAnsi="IRBadr" w:cs="IRBadr"/>
          <w:rtl/>
        </w:rPr>
        <w:t>بررسی روایت از لحاظ دلالت</w:t>
      </w:r>
      <w:bookmarkEnd w:id="9"/>
    </w:p>
    <w:p w:rsidR="009D674D" w:rsidRPr="00AA2547" w:rsidRDefault="009D674D" w:rsidP="009D674D">
      <w:pPr>
        <w:bidi/>
        <w:jc w:val="both"/>
        <w:rPr>
          <w:rFonts w:ascii="IRBadr" w:hAnsi="IRBadr" w:cs="IRBadr"/>
          <w:sz w:val="28"/>
          <w:szCs w:val="28"/>
          <w:rtl/>
          <w:lang w:bidi="fa-IR"/>
        </w:rPr>
      </w:pPr>
      <w:r w:rsidRPr="00AA2547">
        <w:rPr>
          <w:rFonts w:ascii="IRBadr" w:hAnsi="IRBadr" w:cs="IRBadr"/>
          <w:sz w:val="28"/>
          <w:szCs w:val="28"/>
          <w:rtl/>
          <w:lang w:bidi="fa-IR"/>
        </w:rPr>
        <w:t>در دلالت این روایت چند نکته وجود دارد:</w:t>
      </w:r>
    </w:p>
    <w:p w:rsidR="00DF2BF5" w:rsidRPr="00AA2547" w:rsidRDefault="00792DD7" w:rsidP="00D63E1D">
      <w:pPr>
        <w:bidi/>
        <w:jc w:val="both"/>
        <w:rPr>
          <w:rFonts w:ascii="IRBadr" w:hAnsi="IRBadr" w:cs="IRBadr"/>
          <w:sz w:val="28"/>
          <w:szCs w:val="28"/>
          <w:rtl/>
          <w:lang w:bidi="fa-IR"/>
        </w:rPr>
      </w:pPr>
      <w:r w:rsidRPr="00AA2547">
        <w:rPr>
          <w:rFonts w:ascii="IRBadr" w:hAnsi="IRBadr" w:cs="IRBadr"/>
          <w:sz w:val="28"/>
          <w:szCs w:val="28"/>
          <w:rtl/>
          <w:lang w:bidi="fa-IR"/>
        </w:rPr>
        <w:t>1.</w:t>
      </w:r>
      <w:r w:rsidR="003E58EB" w:rsidRPr="00AA2547">
        <w:rPr>
          <w:rFonts w:ascii="IRBadr" w:hAnsi="IRBadr" w:cs="IRBadr"/>
          <w:sz w:val="28"/>
          <w:szCs w:val="28"/>
          <w:rtl/>
          <w:lang w:bidi="fa-IR"/>
        </w:rPr>
        <w:t xml:space="preserve"> پاسخ</w:t>
      </w:r>
      <w:r w:rsidRPr="00AA2547">
        <w:rPr>
          <w:rFonts w:ascii="IRBadr" w:hAnsi="IRBadr" w:cs="IRBadr"/>
          <w:sz w:val="28"/>
          <w:szCs w:val="28"/>
          <w:rtl/>
          <w:lang w:bidi="fa-IR"/>
        </w:rPr>
        <w:t xml:space="preserve"> </w:t>
      </w:r>
      <w:r w:rsidR="003E58EB" w:rsidRPr="00AA2547">
        <w:rPr>
          <w:rFonts w:ascii="IRBadr" w:hAnsi="IRBadr" w:cs="IRBadr"/>
          <w:sz w:val="28"/>
          <w:szCs w:val="28"/>
          <w:rtl/>
          <w:lang w:bidi="fa-IR"/>
        </w:rPr>
        <w:t>امام (</w:t>
      </w:r>
      <w:r w:rsidRPr="00AA2547">
        <w:rPr>
          <w:rFonts w:ascii="IRBadr" w:hAnsi="IRBadr" w:cs="IRBadr"/>
          <w:sz w:val="28"/>
          <w:szCs w:val="28"/>
          <w:rtl/>
          <w:lang w:bidi="fa-IR"/>
        </w:rPr>
        <w:t>ع) تفصیل است. نهی حضرت بر عقد قرارداد آمده است. یعنی نهی بر تکسب عمل آمده است. خود عمل منع نشده است.</w:t>
      </w:r>
      <w:r w:rsidR="00D63E1D" w:rsidRPr="00AA2547">
        <w:rPr>
          <w:rFonts w:ascii="IRBadr" w:hAnsi="IRBadr" w:cs="IRBadr"/>
          <w:sz w:val="28"/>
          <w:szCs w:val="28"/>
          <w:rtl/>
          <w:lang w:bidi="fa-IR"/>
        </w:rPr>
        <w:t xml:space="preserve"> ظاهر روایت این است که عمل حرام نیست.</w:t>
      </w:r>
      <w:r w:rsidR="003E58EB" w:rsidRPr="00AA2547">
        <w:rPr>
          <w:rFonts w:ascii="IRBadr" w:hAnsi="IRBadr" w:cs="IRBadr"/>
          <w:sz w:val="28"/>
          <w:szCs w:val="28"/>
          <w:rtl/>
          <w:lang w:bidi="fa-IR"/>
        </w:rPr>
        <w:t xml:space="preserve"> </w:t>
      </w:r>
      <w:r w:rsidR="00C83C8E" w:rsidRPr="00AA2547">
        <w:rPr>
          <w:rFonts w:ascii="IRBadr" w:hAnsi="IRBadr" w:cs="IRBadr"/>
          <w:sz w:val="28"/>
          <w:szCs w:val="28"/>
          <w:rtl/>
          <w:lang w:bidi="fa-IR"/>
        </w:rPr>
        <w:t xml:space="preserve">عمل ندبه و </w:t>
      </w:r>
      <w:r w:rsidR="00FC4AFA">
        <w:rPr>
          <w:rFonts w:ascii="IRBadr" w:hAnsi="IRBadr" w:cs="IRBadr"/>
          <w:sz w:val="28"/>
          <w:szCs w:val="28"/>
          <w:rtl/>
          <w:lang w:bidi="fa-IR"/>
        </w:rPr>
        <w:t>نوحه‌سرایی</w:t>
      </w:r>
      <w:r w:rsidR="00C83C8E" w:rsidRPr="00AA2547">
        <w:rPr>
          <w:rFonts w:ascii="IRBadr" w:hAnsi="IRBadr" w:cs="IRBadr"/>
          <w:sz w:val="28"/>
          <w:szCs w:val="28"/>
          <w:rtl/>
          <w:lang w:bidi="fa-IR"/>
        </w:rPr>
        <w:t xml:space="preserve"> به دلالت التزامی، جایز است.</w:t>
      </w:r>
    </w:p>
    <w:p w:rsidR="009B7F1A" w:rsidRPr="00AA2547" w:rsidRDefault="009B7F1A" w:rsidP="009B7F1A">
      <w:pPr>
        <w:bidi/>
        <w:jc w:val="both"/>
        <w:rPr>
          <w:rFonts w:ascii="IRBadr" w:hAnsi="IRBadr" w:cs="IRBadr"/>
          <w:sz w:val="28"/>
          <w:szCs w:val="28"/>
          <w:rtl/>
          <w:lang w:bidi="fa-IR"/>
        </w:rPr>
      </w:pPr>
      <w:r w:rsidRPr="00AA2547">
        <w:rPr>
          <w:rFonts w:ascii="IRBadr" w:hAnsi="IRBadr" w:cs="IRBadr"/>
          <w:sz w:val="28"/>
          <w:szCs w:val="28"/>
          <w:rtl/>
          <w:lang w:bidi="fa-IR"/>
        </w:rPr>
        <w:t xml:space="preserve">البته باید توجه داشت که هر کاری جایز باشد، تکسب به آن جایز است. هر کاری حرام باشد، تکسب به آن حرام است. در اینجا امام (ع) عقد قرارداد را منع </w:t>
      </w:r>
      <w:r w:rsidR="003E58EB" w:rsidRPr="00AA2547">
        <w:rPr>
          <w:rFonts w:ascii="IRBadr" w:hAnsi="IRBadr" w:cs="IRBadr"/>
          <w:sz w:val="28"/>
          <w:szCs w:val="28"/>
          <w:rtl/>
          <w:lang w:bidi="fa-IR"/>
        </w:rPr>
        <w:t>کرده‌اند</w:t>
      </w:r>
      <w:r w:rsidRPr="00AA2547">
        <w:rPr>
          <w:rFonts w:ascii="IRBadr" w:hAnsi="IRBadr" w:cs="IRBadr"/>
          <w:sz w:val="28"/>
          <w:szCs w:val="28"/>
          <w:rtl/>
          <w:lang w:bidi="fa-IR"/>
        </w:rPr>
        <w:t xml:space="preserve"> و قائل به تفصیل </w:t>
      </w:r>
      <w:r w:rsidR="003E58EB" w:rsidRPr="00AA2547">
        <w:rPr>
          <w:rFonts w:ascii="IRBadr" w:hAnsi="IRBadr" w:cs="IRBadr"/>
          <w:sz w:val="28"/>
          <w:szCs w:val="28"/>
          <w:rtl/>
          <w:lang w:bidi="fa-IR"/>
        </w:rPr>
        <w:t>شده‌اند</w:t>
      </w:r>
      <w:r w:rsidRPr="00AA2547">
        <w:rPr>
          <w:rFonts w:ascii="IRBadr" w:hAnsi="IRBadr" w:cs="IRBadr"/>
          <w:sz w:val="28"/>
          <w:szCs w:val="28"/>
          <w:rtl/>
          <w:lang w:bidi="fa-IR"/>
        </w:rPr>
        <w:t>.</w:t>
      </w:r>
    </w:p>
    <w:p w:rsidR="009B7F1A" w:rsidRPr="00AA2547" w:rsidRDefault="00373379" w:rsidP="009B7F1A">
      <w:pPr>
        <w:bidi/>
        <w:jc w:val="both"/>
        <w:rPr>
          <w:rFonts w:ascii="IRBadr" w:hAnsi="IRBadr" w:cs="IRBadr"/>
          <w:sz w:val="28"/>
          <w:szCs w:val="28"/>
          <w:rtl/>
          <w:lang w:bidi="fa-IR"/>
        </w:rPr>
      </w:pPr>
      <w:r w:rsidRPr="00AA2547">
        <w:rPr>
          <w:rFonts w:ascii="IRBadr" w:hAnsi="IRBadr" w:cs="IRBadr"/>
          <w:sz w:val="28"/>
          <w:szCs w:val="28"/>
          <w:rtl/>
          <w:lang w:bidi="fa-IR"/>
        </w:rPr>
        <w:lastRenderedPageBreak/>
        <w:t>2.</w:t>
      </w:r>
      <w:r w:rsidR="003E58EB" w:rsidRPr="00AA2547">
        <w:rPr>
          <w:rFonts w:ascii="IRBadr" w:hAnsi="IRBadr" w:cs="IRBadr"/>
          <w:sz w:val="28"/>
          <w:szCs w:val="28"/>
          <w:rtl/>
          <w:lang w:bidi="fa-IR"/>
        </w:rPr>
        <w:t xml:space="preserve"> احتمال</w:t>
      </w:r>
      <w:r w:rsidR="009B7F1A" w:rsidRPr="00AA2547">
        <w:rPr>
          <w:rFonts w:ascii="IRBadr" w:hAnsi="IRBadr" w:cs="IRBadr"/>
          <w:sz w:val="28"/>
          <w:szCs w:val="28"/>
          <w:rtl/>
          <w:lang w:bidi="fa-IR"/>
        </w:rPr>
        <w:t xml:space="preserve"> دوم این است که بگوییم </w:t>
      </w:r>
      <w:r w:rsidRPr="00AA2547">
        <w:rPr>
          <w:rFonts w:ascii="IRBadr" w:hAnsi="IRBadr" w:cs="IRBadr"/>
          <w:sz w:val="28"/>
          <w:szCs w:val="28"/>
          <w:rtl/>
          <w:lang w:bidi="fa-IR"/>
        </w:rPr>
        <w:t xml:space="preserve">قاعده به هم نخورده است. بلکه </w:t>
      </w:r>
      <w:r w:rsidR="00DF7E4D" w:rsidRPr="00AA2547">
        <w:rPr>
          <w:rFonts w:ascii="IRBadr" w:hAnsi="IRBadr" w:cs="IRBadr"/>
          <w:sz w:val="28"/>
          <w:szCs w:val="28"/>
          <w:rtl/>
          <w:lang w:bidi="fa-IR"/>
        </w:rPr>
        <w:t>اصلاً خود</w:t>
      </w:r>
      <w:r w:rsidRPr="00AA2547">
        <w:rPr>
          <w:rFonts w:ascii="IRBadr" w:hAnsi="IRBadr" w:cs="IRBadr"/>
          <w:sz w:val="28"/>
          <w:szCs w:val="28"/>
          <w:rtl/>
          <w:lang w:bidi="fa-IR"/>
        </w:rPr>
        <w:t xml:space="preserve"> عمل حرام است. پول گرفتن برای آن نیز حرام است و فقط هدیه گرفتن مشکلی ندارد. </w:t>
      </w:r>
      <w:r w:rsidR="003E58EB" w:rsidRPr="00AA2547">
        <w:rPr>
          <w:rFonts w:ascii="IRBadr" w:hAnsi="IRBadr" w:cs="IRBadr"/>
          <w:sz w:val="28"/>
          <w:szCs w:val="28"/>
          <w:rtl/>
          <w:lang w:bidi="fa-IR"/>
        </w:rPr>
        <w:t>«</w:t>
      </w:r>
      <w:r w:rsidR="003309D8" w:rsidRPr="00AA2547">
        <w:rPr>
          <w:rFonts w:ascii="IRBadr" w:hAnsi="IRBadr" w:cs="IRBadr"/>
          <w:b/>
          <w:bCs/>
          <w:sz w:val="28"/>
          <w:szCs w:val="28"/>
          <w:rtl/>
          <w:lang w:bidi="fa-IR"/>
        </w:rPr>
        <w:t>لَا تُشَارِطْ»</w:t>
      </w:r>
      <w:r w:rsidR="003309D8" w:rsidRPr="00AA2547">
        <w:rPr>
          <w:rFonts w:ascii="IRBadr" w:hAnsi="IRBadr" w:cs="IRBadr"/>
          <w:sz w:val="28"/>
          <w:szCs w:val="28"/>
          <w:rtl/>
          <w:lang w:bidi="fa-IR"/>
        </w:rPr>
        <w:t xml:space="preserve"> چون در روایت آمده است می‌توانیم بگوییم که نهی از عمل است. بین این دو احتمال ترجیح واضحی نیست.</w:t>
      </w:r>
      <w:r w:rsidR="003E58EB" w:rsidRPr="00AA2547">
        <w:rPr>
          <w:rFonts w:ascii="IRBadr" w:hAnsi="IRBadr" w:cs="IRBadr"/>
          <w:sz w:val="28"/>
          <w:szCs w:val="28"/>
          <w:rtl/>
          <w:lang w:bidi="fa-IR"/>
        </w:rPr>
        <w:t xml:space="preserve"> </w:t>
      </w:r>
      <w:r w:rsidR="0050158C" w:rsidRPr="00AA2547">
        <w:rPr>
          <w:rFonts w:ascii="IRBadr" w:hAnsi="IRBadr" w:cs="IRBadr"/>
          <w:sz w:val="28"/>
          <w:szCs w:val="28"/>
          <w:rtl/>
          <w:lang w:bidi="fa-IR"/>
        </w:rPr>
        <w:t>اگر احتمال اول باشد، روایت دلالت بر جواز می‌کند و اگر احتمال دوم باشد، روایت دلالت بر حرمت می‌کند.</w:t>
      </w:r>
    </w:p>
    <w:p w:rsidR="00C93E83" w:rsidRPr="00AA2547" w:rsidRDefault="00C93E83" w:rsidP="00306F72">
      <w:pPr>
        <w:pStyle w:val="Heading2"/>
        <w:bidi/>
        <w:rPr>
          <w:rFonts w:ascii="IRBadr" w:hAnsi="IRBadr" w:cs="IRBadr"/>
          <w:rtl/>
        </w:rPr>
      </w:pPr>
      <w:bookmarkStart w:id="10" w:name="_Toc427923830"/>
      <w:r w:rsidRPr="00AA2547">
        <w:rPr>
          <w:rFonts w:ascii="IRBadr" w:hAnsi="IRBadr" w:cs="IRBadr"/>
          <w:rtl/>
        </w:rPr>
        <w:t>روایت چهارم</w:t>
      </w:r>
      <w:bookmarkEnd w:id="10"/>
    </w:p>
    <w:p w:rsidR="00C93E83" w:rsidRPr="00AA2547" w:rsidRDefault="003E58EB" w:rsidP="00C93E83">
      <w:pPr>
        <w:bidi/>
        <w:jc w:val="both"/>
        <w:rPr>
          <w:rFonts w:ascii="IRBadr" w:hAnsi="IRBadr" w:cs="IRBadr"/>
          <w:b/>
          <w:bCs/>
          <w:sz w:val="28"/>
          <w:szCs w:val="28"/>
          <w:rtl/>
          <w:lang w:bidi="fa-IR"/>
        </w:rPr>
      </w:pPr>
      <w:r w:rsidRPr="00AA2547">
        <w:rPr>
          <w:rFonts w:ascii="IRBadr" w:hAnsi="IRBadr" w:cs="IRBadr"/>
          <w:b/>
          <w:bCs/>
          <w:sz w:val="28"/>
          <w:szCs w:val="28"/>
          <w:rtl/>
          <w:lang w:bidi="fa-IR"/>
        </w:rPr>
        <w:t>«</w:t>
      </w:r>
      <w:r w:rsidR="00C93E83" w:rsidRPr="00AA2547">
        <w:rPr>
          <w:rFonts w:ascii="IRBadr" w:hAnsi="IRBadr" w:cs="IRBadr"/>
          <w:b/>
          <w:bCs/>
          <w:sz w:val="28"/>
          <w:szCs w:val="28"/>
          <w:rtl/>
          <w:lang w:bidi="fa-IR"/>
        </w:rPr>
        <w:t xml:space="preserve">وَ عَنْ عَلِيِّ بْنِ إِبْرَاهِيمَ عَنْ أَبِيهِ عَنِ ابْنِ أَبِي عُمَيْرٍ عَنِ الْحَسَنِ بْنِ عَطِيَّةَ عَنْ عُذَافِرٍ قَالَ: سَمِعْتُ أَبَا عَبْدِ اللَّهِ ع وَ سُئِلَ عَنْ كَسْبِ النَّائِحَةِ فَقَالَ تَسْتَحِلُّهُ بِضَرْبِ إِحْدَى </w:t>
      </w:r>
      <w:r w:rsidRPr="00AA2547">
        <w:rPr>
          <w:rFonts w:ascii="IRBadr" w:hAnsi="IRBadr" w:cs="IRBadr"/>
          <w:b/>
          <w:bCs/>
          <w:sz w:val="28"/>
          <w:szCs w:val="28"/>
          <w:rtl/>
          <w:lang w:bidi="fa-IR"/>
        </w:rPr>
        <w:t>یدی‌ها</w:t>
      </w:r>
      <w:r w:rsidR="00C93E83" w:rsidRPr="00AA2547">
        <w:rPr>
          <w:rFonts w:ascii="IRBadr" w:hAnsi="IRBadr" w:cs="IRBadr"/>
          <w:b/>
          <w:bCs/>
          <w:sz w:val="28"/>
          <w:szCs w:val="28"/>
          <w:rtl/>
          <w:lang w:bidi="fa-IR"/>
        </w:rPr>
        <w:t xml:space="preserve"> عَلَى الْأُخْرَى.»</w:t>
      </w:r>
      <w:r w:rsidR="00C93E83" w:rsidRPr="00AA2547">
        <w:rPr>
          <w:rStyle w:val="FootnoteReference"/>
          <w:rFonts w:ascii="IRBadr" w:hAnsi="IRBadr" w:cs="IRBadr"/>
          <w:b/>
          <w:bCs/>
          <w:sz w:val="28"/>
          <w:szCs w:val="28"/>
          <w:rtl/>
          <w:lang w:bidi="fa-IR"/>
        </w:rPr>
        <w:footnoteReference w:id="4"/>
      </w:r>
    </w:p>
    <w:p w:rsidR="00C93E83" w:rsidRPr="00AA2547" w:rsidRDefault="00C93E83" w:rsidP="00C93E83">
      <w:pPr>
        <w:bidi/>
        <w:jc w:val="both"/>
        <w:rPr>
          <w:rFonts w:ascii="IRBadr" w:hAnsi="IRBadr" w:cs="IRBadr"/>
          <w:sz w:val="28"/>
          <w:szCs w:val="28"/>
          <w:rtl/>
          <w:lang w:bidi="fa-IR"/>
        </w:rPr>
      </w:pPr>
      <w:r w:rsidRPr="00AA2547">
        <w:rPr>
          <w:rFonts w:ascii="IRBadr" w:hAnsi="IRBadr" w:cs="IRBadr"/>
          <w:sz w:val="28"/>
          <w:szCs w:val="28"/>
          <w:rtl/>
          <w:lang w:bidi="fa-IR"/>
        </w:rPr>
        <w:t>از امام (ع)</w:t>
      </w:r>
      <w:r w:rsidR="003E58EB" w:rsidRPr="00AA2547">
        <w:rPr>
          <w:rFonts w:ascii="IRBadr" w:hAnsi="IRBadr" w:cs="IRBadr"/>
          <w:sz w:val="28"/>
          <w:szCs w:val="28"/>
          <w:rtl/>
          <w:lang w:bidi="fa-IR"/>
        </w:rPr>
        <w:t xml:space="preserve"> </w:t>
      </w:r>
      <w:r w:rsidRPr="00AA2547">
        <w:rPr>
          <w:rFonts w:ascii="IRBadr" w:hAnsi="IRBadr" w:cs="IRBadr"/>
          <w:sz w:val="28"/>
          <w:szCs w:val="28"/>
          <w:rtl/>
          <w:lang w:bidi="fa-IR"/>
        </w:rPr>
        <w:t xml:space="preserve">سؤال شد که حکم کسی که بر میت نوحه‌سرایی می‌کند چیست؟ حضرت (ع) در اینجا نیز جواب مستقیم نداده‌اند. اگر بخواهد این کسب جایز بشود، </w:t>
      </w:r>
      <w:r w:rsidR="00D141E0" w:rsidRPr="00AA2547">
        <w:rPr>
          <w:rFonts w:ascii="IRBadr" w:hAnsi="IRBadr" w:cs="IRBadr"/>
          <w:sz w:val="28"/>
          <w:szCs w:val="28"/>
          <w:rtl/>
          <w:lang w:bidi="fa-IR"/>
        </w:rPr>
        <w:t>باید دستش را به دست بزند.</w:t>
      </w:r>
      <w:r w:rsidR="003E58EB" w:rsidRPr="00AA2547">
        <w:rPr>
          <w:rFonts w:ascii="IRBadr" w:hAnsi="IRBadr" w:cs="IRBadr"/>
          <w:sz w:val="28"/>
          <w:szCs w:val="28"/>
          <w:rtl/>
          <w:lang w:bidi="fa-IR"/>
        </w:rPr>
        <w:t xml:space="preserve"> </w:t>
      </w:r>
      <w:r w:rsidR="00FC4AFA">
        <w:rPr>
          <w:rFonts w:ascii="IRBadr" w:hAnsi="IRBadr" w:cs="IRBadr"/>
          <w:sz w:val="28"/>
          <w:szCs w:val="28"/>
          <w:rtl/>
          <w:lang w:bidi="fa-IR"/>
        </w:rPr>
        <w:t>نوحه‌سرایی</w:t>
      </w:r>
      <w:r w:rsidR="00D141E0" w:rsidRPr="00AA2547">
        <w:rPr>
          <w:rFonts w:ascii="IRBadr" w:hAnsi="IRBadr" w:cs="IRBadr"/>
          <w:sz w:val="28"/>
          <w:szCs w:val="28"/>
          <w:rtl/>
          <w:lang w:bidi="fa-IR"/>
        </w:rPr>
        <w:t xml:space="preserve"> و شیون اشکال دارد اگر می‌خواهد حلال بشود دست به دست بزند تا پول در مقابل عمل‌های دیگر باشد.</w:t>
      </w:r>
    </w:p>
    <w:p w:rsidR="00D141E0" w:rsidRPr="00AA2547" w:rsidRDefault="00D141E0" w:rsidP="00DF7E4D">
      <w:pPr>
        <w:bidi/>
        <w:jc w:val="both"/>
        <w:rPr>
          <w:rFonts w:ascii="IRBadr" w:hAnsi="IRBadr" w:cs="IRBadr"/>
          <w:sz w:val="28"/>
          <w:szCs w:val="28"/>
          <w:rtl/>
          <w:lang w:bidi="fa-IR"/>
        </w:rPr>
      </w:pPr>
      <w:r w:rsidRPr="00AA2547">
        <w:rPr>
          <w:rFonts w:ascii="IRBadr" w:hAnsi="IRBadr" w:cs="IRBadr"/>
          <w:sz w:val="28"/>
          <w:szCs w:val="28"/>
          <w:rtl/>
          <w:lang w:bidi="fa-IR"/>
        </w:rPr>
        <w:t xml:space="preserve">این روایت </w:t>
      </w:r>
      <w:r w:rsidR="00DF7E4D" w:rsidRPr="00AA2547">
        <w:rPr>
          <w:rFonts w:ascii="IRBadr" w:hAnsi="IRBadr" w:cs="IRBadr"/>
          <w:sz w:val="28"/>
          <w:szCs w:val="28"/>
          <w:rtl/>
          <w:lang w:bidi="fa-IR"/>
        </w:rPr>
        <w:t>سنداً</w:t>
      </w:r>
      <w:r w:rsidR="00D366D1" w:rsidRPr="00AA2547">
        <w:rPr>
          <w:rFonts w:ascii="IRBadr" w:hAnsi="IRBadr" w:cs="IRBadr"/>
          <w:sz w:val="28"/>
          <w:szCs w:val="28"/>
          <w:rtl/>
          <w:lang w:bidi="fa-IR"/>
        </w:rPr>
        <w:t xml:space="preserve"> </w:t>
      </w:r>
      <w:r w:rsidRPr="00AA2547">
        <w:rPr>
          <w:rFonts w:ascii="IRBadr" w:hAnsi="IRBadr" w:cs="IRBadr"/>
          <w:sz w:val="28"/>
          <w:szCs w:val="28"/>
          <w:rtl/>
          <w:lang w:bidi="fa-IR"/>
        </w:rPr>
        <w:t>معتبر است.</w:t>
      </w:r>
    </w:p>
    <w:p w:rsidR="00D141E0" w:rsidRPr="00AA2547" w:rsidRDefault="00D141E0" w:rsidP="00306F72">
      <w:pPr>
        <w:pStyle w:val="Heading3"/>
        <w:bidi/>
        <w:rPr>
          <w:rFonts w:ascii="IRBadr" w:hAnsi="IRBadr" w:cs="IRBadr"/>
          <w:rtl/>
        </w:rPr>
      </w:pPr>
      <w:bookmarkStart w:id="11" w:name="_Toc427923831"/>
      <w:r w:rsidRPr="00AA2547">
        <w:rPr>
          <w:rFonts w:ascii="IRBadr" w:hAnsi="IRBadr" w:cs="IRBadr"/>
          <w:rtl/>
        </w:rPr>
        <w:t>بررسی روایت از لحاظ دلالت</w:t>
      </w:r>
      <w:bookmarkEnd w:id="11"/>
    </w:p>
    <w:p w:rsidR="00472E0E" w:rsidRPr="00AA2547" w:rsidRDefault="00D141E0" w:rsidP="00D141E0">
      <w:pPr>
        <w:bidi/>
        <w:jc w:val="both"/>
        <w:rPr>
          <w:rFonts w:ascii="IRBadr" w:hAnsi="IRBadr" w:cs="IRBadr"/>
          <w:b/>
          <w:bCs/>
          <w:sz w:val="28"/>
          <w:szCs w:val="28"/>
          <w:rtl/>
          <w:lang w:bidi="fa-IR"/>
        </w:rPr>
      </w:pPr>
      <w:r w:rsidRPr="00AA2547">
        <w:rPr>
          <w:rFonts w:ascii="IRBadr" w:hAnsi="IRBadr" w:cs="IRBadr"/>
          <w:sz w:val="28"/>
          <w:szCs w:val="28"/>
          <w:rtl/>
          <w:lang w:bidi="fa-IR"/>
        </w:rPr>
        <w:t>این روایت دلالت بر حرمت می‌کند. اینکه</w:t>
      </w:r>
      <w:r w:rsidR="003E58EB" w:rsidRPr="00AA2547">
        <w:rPr>
          <w:rFonts w:ascii="IRBadr" w:hAnsi="IRBadr" w:cs="IRBadr"/>
          <w:sz w:val="28"/>
          <w:szCs w:val="28"/>
          <w:rtl/>
          <w:lang w:bidi="fa-IR"/>
        </w:rPr>
        <w:t xml:space="preserve"> </w:t>
      </w:r>
      <w:r w:rsidRPr="00AA2547">
        <w:rPr>
          <w:rFonts w:ascii="IRBadr" w:hAnsi="IRBadr" w:cs="IRBadr"/>
          <w:sz w:val="28"/>
          <w:szCs w:val="28"/>
          <w:rtl/>
          <w:lang w:bidi="fa-IR"/>
        </w:rPr>
        <w:t xml:space="preserve">در روایت می‌گوید با عمل دیگر کسب را </w:t>
      </w:r>
      <w:r w:rsidR="003E3D27" w:rsidRPr="00AA2547">
        <w:rPr>
          <w:rFonts w:ascii="IRBadr" w:hAnsi="IRBadr" w:cs="IRBadr"/>
          <w:sz w:val="28"/>
          <w:szCs w:val="28"/>
          <w:rtl/>
          <w:lang w:bidi="fa-IR"/>
        </w:rPr>
        <w:t>حلال بکند یعنی خود کسب عمل حرام است.</w:t>
      </w:r>
      <w:r w:rsidR="00D366D1" w:rsidRPr="00AA2547">
        <w:rPr>
          <w:rFonts w:ascii="IRBadr" w:hAnsi="IRBadr" w:cs="IRBadr"/>
          <w:sz w:val="28"/>
          <w:szCs w:val="28"/>
          <w:rtl/>
          <w:lang w:bidi="fa-IR"/>
        </w:rPr>
        <w:t xml:space="preserve"> در نتیجه عمل،‌جایز نیست.</w:t>
      </w:r>
    </w:p>
    <w:p w:rsidR="003B15F5" w:rsidRPr="00AA2547" w:rsidRDefault="00306F72" w:rsidP="00881854">
      <w:pPr>
        <w:bidi/>
        <w:jc w:val="both"/>
        <w:rPr>
          <w:rFonts w:ascii="IRBadr" w:hAnsi="IRBadr" w:cs="IRBadr"/>
          <w:sz w:val="28"/>
          <w:szCs w:val="28"/>
          <w:rtl/>
          <w:lang w:bidi="fa-IR"/>
        </w:rPr>
      </w:pPr>
      <w:r w:rsidRPr="00AA2547">
        <w:rPr>
          <w:rFonts w:ascii="IRBadr" w:hAnsi="IRBadr" w:cs="IRBadr"/>
          <w:sz w:val="28"/>
          <w:szCs w:val="28"/>
          <w:rtl/>
          <w:lang w:bidi="fa-IR"/>
        </w:rPr>
        <w:t>امام (ع)</w:t>
      </w:r>
      <w:r w:rsidR="003E58EB" w:rsidRPr="00AA2547">
        <w:rPr>
          <w:rFonts w:ascii="IRBadr" w:hAnsi="IRBadr" w:cs="IRBadr"/>
          <w:sz w:val="28"/>
          <w:szCs w:val="28"/>
          <w:rtl/>
          <w:lang w:bidi="fa-IR"/>
        </w:rPr>
        <w:t xml:space="preserve"> </w:t>
      </w:r>
      <w:r w:rsidRPr="00AA2547">
        <w:rPr>
          <w:rFonts w:ascii="IRBadr" w:hAnsi="IRBadr" w:cs="IRBadr"/>
          <w:sz w:val="28"/>
          <w:szCs w:val="28"/>
          <w:rtl/>
          <w:lang w:bidi="fa-IR"/>
        </w:rPr>
        <w:t>با این پیشنهاد می‌خواهند مال شخص را حلال بکنند. نه اینکه حرمت را از عمل بردارند.</w:t>
      </w:r>
    </w:p>
    <w:p w:rsidR="003E58EB" w:rsidRPr="00AA2547" w:rsidRDefault="003E58EB" w:rsidP="003E58EB">
      <w:pPr>
        <w:bidi/>
        <w:jc w:val="both"/>
        <w:rPr>
          <w:rFonts w:ascii="IRBadr" w:hAnsi="IRBadr" w:cs="IRBadr"/>
          <w:sz w:val="28"/>
          <w:szCs w:val="28"/>
          <w:rtl/>
          <w:lang w:bidi="fa-IR"/>
        </w:rPr>
      </w:pPr>
      <w:r w:rsidRPr="00AA2547">
        <w:rPr>
          <w:rFonts w:ascii="IRBadr" w:hAnsi="IRBadr" w:cs="IRBadr"/>
          <w:sz w:val="28"/>
          <w:szCs w:val="28"/>
          <w:rtl/>
          <w:lang w:bidi="fa-IR"/>
        </w:rPr>
        <w:t>این روایت دلالت بر منع می‌کند.</w:t>
      </w:r>
    </w:p>
    <w:sectPr w:rsidR="003E58EB" w:rsidRPr="00AA254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B3" w:rsidRDefault="00CF75B3" w:rsidP="000D5800">
      <w:r>
        <w:separator/>
      </w:r>
    </w:p>
  </w:endnote>
  <w:endnote w:type="continuationSeparator" w:id="0">
    <w:p w:rsidR="00CF75B3" w:rsidRDefault="00CF75B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5B" w:rsidRDefault="00BE7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80320" w:rsidRDefault="00780320" w:rsidP="007B0062">
        <w:pPr>
          <w:pStyle w:val="Footer"/>
          <w:jc w:val="center"/>
        </w:pPr>
        <w:r>
          <w:fldChar w:fldCharType="begin"/>
        </w:r>
        <w:r>
          <w:instrText xml:space="preserve"> PAGE   \* MERGEFORMAT </w:instrText>
        </w:r>
        <w:r>
          <w:fldChar w:fldCharType="separate"/>
        </w:r>
        <w:r w:rsidR="00FC4AF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5B" w:rsidRDefault="00BE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B3" w:rsidRDefault="00CF75B3" w:rsidP="00417158">
      <w:pPr>
        <w:bidi/>
      </w:pPr>
      <w:r>
        <w:separator/>
      </w:r>
    </w:p>
  </w:footnote>
  <w:footnote w:type="continuationSeparator" w:id="0">
    <w:p w:rsidR="00CF75B3" w:rsidRDefault="00CF75B3" w:rsidP="000D5800">
      <w:r>
        <w:continuationSeparator/>
      </w:r>
    </w:p>
  </w:footnote>
  <w:footnote w:id="1">
    <w:p w:rsidR="004D279A" w:rsidRPr="00306F72" w:rsidRDefault="004D279A" w:rsidP="00306F72">
      <w:pPr>
        <w:pStyle w:val="FootnoteText"/>
        <w:bidi/>
        <w:rPr>
          <w:rFonts w:hint="cs"/>
          <w:b/>
          <w:bCs/>
          <w:rtl/>
        </w:rPr>
      </w:pPr>
      <w:bookmarkStart w:id="3" w:name="_GoBack"/>
      <w:bookmarkEnd w:id="3"/>
      <w:r w:rsidRPr="00306F72">
        <w:rPr>
          <w:rStyle w:val="FootnoteReference"/>
          <w:b/>
          <w:bCs/>
        </w:rPr>
        <w:footnoteRef/>
      </w:r>
      <w:r w:rsidRPr="00306F72">
        <w:rPr>
          <w:b/>
          <w:bCs/>
        </w:rPr>
        <w:t xml:space="preserve"> </w:t>
      </w:r>
      <w:r w:rsidR="00FC4AFA">
        <w:rPr>
          <w:rFonts w:hint="cs"/>
          <w:b/>
          <w:bCs/>
          <w:rtl/>
        </w:rPr>
        <w:t xml:space="preserve">- </w:t>
      </w:r>
      <w:r w:rsidRPr="00306F72">
        <w:rPr>
          <w:rFonts w:hint="cs"/>
          <w:b/>
          <w:bCs/>
          <w:rtl/>
        </w:rPr>
        <w:t>وسائل الشیعه، ج 17، ص 125</w:t>
      </w:r>
      <w:r w:rsidR="00FC4AFA">
        <w:rPr>
          <w:rFonts w:hint="cs"/>
          <w:b/>
          <w:bCs/>
          <w:rtl/>
        </w:rPr>
        <w:t>.</w:t>
      </w:r>
    </w:p>
  </w:footnote>
  <w:footnote w:id="2">
    <w:p w:rsidR="005515BD" w:rsidRPr="00306F72" w:rsidRDefault="005515BD" w:rsidP="00306F72">
      <w:pPr>
        <w:pStyle w:val="FootnoteText"/>
        <w:bidi/>
        <w:rPr>
          <w:rFonts w:hint="cs"/>
          <w:b/>
          <w:bCs/>
          <w:rtl/>
        </w:rPr>
      </w:pPr>
      <w:r w:rsidRPr="00306F72">
        <w:rPr>
          <w:rStyle w:val="FootnoteReference"/>
          <w:b/>
          <w:bCs/>
        </w:rPr>
        <w:footnoteRef/>
      </w:r>
      <w:r w:rsidRPr="00306F72">
        <w:rPr>
          <w:b/>
          <w:bCs/>
        </w:rPr>
        <w:t xml:space="preserve"> </w:t>
      </w:r>
      <w:r w:rsidR="00FC4AFA">
        <w:rPr>
          <w:rFonts w:hint="cs"/>
          <w:b/>
          <w:bCs/>
          <w:rtl/>
        </w:rPr>
        <w:t xml:space="preserve">- </w:t>
      </w:r>
      <w:r w:rsidRPr="00306F72">
        <w:rPr>
          <w:rFonts w:hint="cs"/>
          <w:b/>
          <w:bCs/>
          <w:rtl/>
        </w:rPr>
        <w:t>همان،</w:t>
      </w:r>
      <w:r w:rsidR="003E58EB">
        <w:rPr>
          <w:b/>
          <w:bCs/>
          <w:rtl/>
        </w:rPr>
        <w:t xml:space="preserve"> </w:t>
      </w:r>
      <w:r w:rsidRPr="00306F72">
        <w:rPr>
          <w:rFonts w:hint="cs"/>
          <w:b/>
          <w:bCs/>
          <w:rtl/>
        </w:rPr>
        <w:t xml:space="preserve">ص </w:t>
      </w:r>
      <w:r w:rsidR="001B5747" w:rsidRPr="00306F72">
        <w:rPr>
          <w:rFonts w:hint="cs"/>
          <w:b/>
          <w:bCs/>
          <w:rtl/>
        </w:rPr>
        <w:t>125 و 126</w:t>
      </w:r>
      <w:r w:rsidR="00FC4AFA">
        <w:rPr>
          <w:rFonts w:hint="cs"/>
          <w:b/>
          <w:bCs/>
          <w:rtl/>
        </w:rPr>
        <w:t>.</w:t>
      </w:r>
    </w:p>
  </w:footnote>
  <w:footnote w:id="3">
    <w:p w:rsidR="00B95A4A" w:rsidRPr="00306F72" w:rsidRDefault="00B95A4A" w:rsidP="00306F72">
      <w:pPr>
        <w:pStyle w:val="FootnoteText"/>
        <w:bidi/>
        <w:rPr>
          <w:rFonts w:hint="cs"/>
          <w:b/>
          <w:bCs/>
          <w:rtl/>
        </w:rPr>
      </w:pPr>
      <w:r w:rsidRPr="00306F72">
        <w:rPr>
          <w:rStyle w:val="FootnoteReference"/>
          <w:b/>
          <w:bCs/>
        </w:rPr>
        <w:footnoteRef/>
      </w:r>
      <w:r w:rsidRPr="00306F72">
        <w:rPr>
          <w:b/>
          <w:bCs/>
        </w:rPr>
        <w:t xml:space="preserve"> </w:t>
      </w:r>
      <w:r w:rsidR="00FC4AFA">
        <w:rPr>
          <w:rFonts w:hint="cs"/>
          <w:b/>
          <w:bCs/>
          <w:rtl/>
        </w:rPr>
        <w:t xml:space="preserve">- </w:t>
      </w:r>
      <w:r w:rsidRPr="00306F72">
        <w:rPr>
          <w:rFonts w:hint="cs"/>
          <w:b/>
          <w:bCs/>
          <w:rtl/>
        </w:rPr>
        <w:t>همان، ص 126</w:t>
      </w:r>
      <w:r w:rsidR="00FC4AFA">
        <w:rPr>
          <w:rFonts w:hint="cs"/>
          <w:b/>
          <w:bCs/>
          <w:rtl/>
        </w:rPr>
        <w:t>.</w:t>
      </w:r>
    </w:p>
  </w:footnote>
  <w:footnote w:id="4">
    <w:p w:rsidR="00C93E83" w:rsidRPr="00306F72" w:rsidRDefault="00C93E83" w:rsidP="00306F72">
      <w:pPr>
        <w:pStyle w:val="FootnoteText"/>
        <w:bidi/>
        <w:rPr>
          <w:b/>
          <w:bCs/>
        </w:rPr>
      </w:pPr>
      <w:r w:rsidRPr="00306F72">
        <w:rPr>
          <w:rStyle w:val="FootnoteReference"/>
          <w:b/>
          <w:bCs/>
        </w:rPr>
        <w:footnoteRef/>
      </w:r>
      <w:r w:rsidRPr="00306F72">
        <w:rPr>
          <w:b/>
          <w:bCs/>
        </w:rPr>
        <w:t xml:space="preserve"> </w:t>
      </w:r>
      <w:r w:rsidR="00FC4AFA">
        <w:rPr>
          <w:rFonts w:hint="cs"/>
          <w:b/>
          <w:bCs/>
          <w:rtl/>
        </w:rPr>
        <w:t xml:space="preserve">- </w:t>
      </w:r>
      <w:r w:rsidRPr="00306F72">
        <w:rPr>
          <w:rFonts w:hint="cs"/>
          <w:b/>
          <w:bCs/>
          <w:rtl/>
        </w:rPr>
        <w:t>همان</w:t>
      </w:r>
      <w:r w:rsidR="00FC4AFA">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5B" w:rsidRDefault="00BE7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20" w:rsidRPr="000D5800" w:rsidRDefault="00780320" w:rsidP="00792DD7">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6D1E99BC" wp14:editId="49FCB60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7EE050F5" wp14:editId="7E8EB11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92DD7">
      <w:rPr>
        <w:rFonts w:ascii="IranNastaliq" w:hAnsi="IranNastaliq" w:cs="IranNastaliq" w:hint="cs"/>
        <w:sz w:val="40"/>
        <w:szCs w:val="40"/>
        <w:rtl/>
      </w:rPr>
      <w:t>3165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5B" w:rsidRDefault="00BE7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1"/>
  </w:num>
  <w:num w:numId="6">
    <w:abstractNumId w:val="11"/>
  </w:num>
  <w:num w:numId="7">
    <w:abstractNumId w:val="3"/>
  </w:num>
  <w:num w:numId="8">
    <w:abstractNumId w:val="2"/>
  </w:num>
  <w:num w:numId="9">
    <w:abstractNumId w:val="9"/>
  </w:num>
  <w:num w:numId="10">
    <w:abstractNumId w:val="15"/>
  </w:num>
  <w:num w:numId="11">
    <w:abstractNumId w:val="16"/>
  </w:num>
  <w:num w:numId="12">
    <w:abstractNumId w:val="0"/>
  </w:num>
  <w:num w:numId="13">
    <w:abstractNumId w:val="14"/>
  </w:num>
  <w:num w:numId="14">
    <w:abstractNumId w:val="7"/>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2757"/>
    <w:rsid w:val="0001281A"/>
    <w:rsid w:val="00012D02"/>
    <w:rsid w:val="00012F73"/>
    <w:rsid w:val="000133C5"/>
    <w:rsid w:val="000138C0"/>
    <w:rsid w:val="00015157"/>
    <w:rsid w:val="000153EB"/>
    <w:rsid w:val="00015A8B"/>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830"/>
    <w:rsid w:val="00052BA3"/>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020"/>
    <w:rsid w:val="0009430B"/>
    <w:rsid w:val="00094702"/>
    <w:rsid w:val="00094C5F"/>
    <w:rsid w:val="000958FA"/>
    <w:rsid w:val="00095DB4"/>
    <w:rsid w:val="00095ECA"/>
    <w:rsid w:val="00096370"/>
    <w:rsid w:val="000968B6"/>
    <w:rsid w:val="00096DAB"/>
    <w:rsid w:val="00096F76"/>
    <w:rsid w:val="000A1100"/>
    <w:rsid w:val="000A112F"/>
    <w:rsid w:val="000A15B4"/>
    <w:rsid w:val="000A1A51"/>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5B"/>
    <w:rsid w:val="000B047B"/>
    <w:rsid w:val="000B04A9"/>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39AC"/>
    <w:rsid w:val="000F401F"/>
    <w:rsid w:val="000F4C74"/>
    <w:rsid w:val="000F596E"/>
    <w:rsid w:val="000F62FB"/>
    <w:rsid w:val="000F6565"/>
    <w:rsid w:val="000F699E"/>
    <w:rsid w:val="000F7547"/>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46B"/>
    <w:rsid w:val="00114956"/>
    <w:rsid w:val="00114EF4"/>
    <w:rsid w:val="00115D02"/>
    <w:rsid w:val="00116015"/>
    <w:rsid w:val="001165F3"/>
    <w:rsid w:val="001169AD"/>
    <w:rsid w:val="00116AA9"/>
    <w:rsid w:val="0011748E"/>
    <w:rsid w:val="00117955"/>
    <w:rsid w:val="00117DCD"/>
    <w:rsid w:val="00117E71"/>
    <w:rsid w:val="001201D2"/>
    <w:rsid w:val="00120749"/>
    <w:rsid w:val="00120E5B"/>
    <w:rsid w:val="001222FD"/>
    <w:rsid w:val="001228F9"/>
    <w:rsid w:val="00122C26"/>
    <w:rsid w:val="00123542"/>
    <w:rsid w:val="00124D04"/>
    <w:rsid w:val="00125085"/>
    <w:rsid w:val="00125170"/>
    <w:rsid w:val="0012591D"/>
    <w:rsid w:val="00125FFA"/>
    <w:rsid w:val="0012715A"/>
    <w:rsid w:val="001272A8"/>
    <w:rsid w:val="001302BF"/>
    <w:rsid w:val="001314EC"/>
    <w:rsid w:val="001316B5"/>
    <w:rsid w:val="00131DE6"/>
    <w:rsid w:val="0013209B"/>
    <w:rsid w:val="001323AE"/>
    <w:rsid w:val="001326E6"/>
    <w:rsid w:val="00133138"/>
    <w:rsid w:val="00133D00"/>
    <w:rsid w:val="00133E1D"/>
    <w:rsid w:val="0013451B"/>
    <w:rsid w:val="0013468B"/>
    <w:rsid w:val="00134C0A"/>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6619"/>
    <w:rsid w:val="001602F5"/>
    <w:rsid w:val="00160517"/>
    <w:rsid w:val="00161C64"/>
    <w:rsid w:val="001624B7"/>
    <w:rsid w:val="00162A4E"/>
    <w:rsid w:val="00164BF8"/>
    <w:rsid w:val="00165089"/>
    <w:rsid w:val="001655A7"/>
    <w:rsid w:val="001669A3"/>
    <w:rsid w:val="00166DD8"/>
    <w:rsid w:val="00171000"/>
    <w:rsid w:val="001712D6"/>
    <w:rsid w:val="00171B2C"/>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EF5"/>
    <w:rsid w:val="001875A0"/>
    <w:rsid w:val="00187AB7"/>
    <w:rsid w:val="00187D42"/>
    <w:rsid w:val="001903CC"/>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384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5AA0"/>
    <w:rsid w:val="00215E68"/>
    <w:rsid w:val="002161BC"/>
    <w:rsid w:val="0021642E"/>
    <w:rsid w:val="002165A7"/>
    <w:rsid w:val="0021698F"/>
    <w:rsid w:val="00216B2D"/>
    <w:rsid w:val="002200AF"/>
    <w:rsid w:val="002218FB"/>
    <w:rsid w:val="00221A38"/>
    <w:rsid w:val="00221AD9"/>
    <w:rsid w:val="00221BCC"/>
    <w:rsid w:val="00221E08"/>
    <w:rsid w:val="002222D7"/>
    <w:rsid w:val="002227BB"/>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AD"/>
    <w:rsid w:val="00236DF5"/>
    <w:rsid w:val="002376A5"/>
    <w:rsid w:val="00237716"/>
    <w:rsid w:val="00237944"/>
    <w:rsid w:val="00237C51"/>
    <w:rsid w:val="0024028E"/>
    <w:rsid w:val="00240CD0"/>
    <w:rsid w:val="00240F76"/>
    <w:rsid w:val="002417C9"/>
    <w:rsid w:val="00242034"/>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33AB"/>
    <w:rsid w:val="002736A0"/>
    <w:rsid w:val="00274187"/>
    <w:rsid w:val="00274504"/>
    <w:rsid w:val="0027541D"/>
    <w:rsid w:val="00276955"/>
    <w:rsid w:val="00276C65"/>
    <w:rsid w:val="002802A7"/>
    <w:rsid w:val="00280658"/>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2F7800"/>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BDF"/>
    <w:rsid w:val="003276DD"/>
    <w:rsid w:val="003309D8"/>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798"/>
    <w:rsid w:val="00360A9A"/>
    <w:rsid w:val="003611B8"/>
    <w:rsid w:val="003616DF"/>
    <w:rsid w:val="00361FA7"/>
    <w:rsid w:val="003633F3"/>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F28"/>
    <w:rsid w:val="00397009"/>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5EE"/>
    <w:rsid w:val="003D563F"/>
    <w:rsid w:val="003D654F"/>
    <w:rsid w:val="003D6A4B"/>
    <w:rsid w:val="003E0F28"/>
    <w:rsid w:val="003E1813"/>
    <w:rsid w:val="003E1A5B"/>
    <w:rsid w:val="003E1E58"/>
    <w:rsid w:val="003E214B"/>
    <w:rsid w:val="003E2BAB"/>
    <w:rsid w:val="003E2D99"/>
    <w:rsid w:val="003E2F09"/>
    <w:rsid w:val="003E339F"/>
    <w:rsid w:val="003E3501"/>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2F9"/>
    <w:rsid w:val="003F3946"/>
    <w:rsid w:val="003F4BC7"/>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4A7"/>
    <w:rsid w:val="004079AD"/>
    <w:rsid w:val="00410699"/>
    <w:rsid w:val="00410DBA"/>
    <w:rsid w:val="00410E44"/>
    <w:rsid w:val="00411A7B"/>
    <w:rsid w:val="004121EF"/>
    <w:rsid w:val="00412B05"/>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3E9"/>
    <w:rsid w:val="00446FAB"/>
    <w:rsid w:val="0044760E"/>
    <w:rsid w:val="00451F51"/>
    <w:rsid w:val="004526B0"/>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2584"/>
    <w:rsid w:val="00482775"/>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EE6"/>
    <w:rsid w:val="004A4FA2"/>
    <w:rsid w:val="004A50DE"/>
    <w:rsid w:val="004A54BE"/>
    <w:rsid w:val="004A5A94"/>
    <w:rsid w:val="004A5AA4"/>
    <w:rsid w:val="004A6DB5"/>
    <w:rsid w:val="004A72C8"/>
    <w:rsid w:val="004B0488"/>
    <w:rsid w:val="004B0877"/>
    <w:rsid w:val="004B0F29"/>
    <w:rsid w:val="004B105A"/>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CAC"/>
    <w:rsid w:val="004C042A"/>
    <w:rsid w:val="004C063F"/>
    <w:rsid w:val="004C08A6"/>
    <w:rsid w:val="004C0E07"/>
    <w:rsid w:val="004C196E"/>
    <w:rsid w:val="004C2FF0"/>
    <w:rsid w:val="004C3282"/>
    <w:rsid w:val="004C34F9"/>
    <w:rsid w:val="004C376D"/>
    <w:rsid w:val="004C38E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50023D"/>
    <w:rsid w:val="0050158C"/>
    <w:rsid w:val="00501DF9"/>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47CD2"/>
    <w:rsid w:val="00550145"/>
    <w:rsid w:val="005504ED"/>
    <w:rsid w:val="00551172"/>
    <w:rsid w:val="005511D0"/>
    <w:rsid w:val="005515BD"/>
    <w:rsid w:val="00551F93"/>
    <w:rsid w:val="005521B8"/>
    <w:rsid w:val="00552894"/>
    <w:rsid w:val="00553D6E"/>
    <w:rsid w:val="00555F18"/>
    <w:rsid w:val="00557AAA"/>
    <w:rsid w:val="00561BD9"/>
    <w:rsid w:val="00563479"/>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CEF"/>
    <w:rsid w:val="005C60BE"/>
    <w:rsid w:val="005C679B"/>
    <w:rsid w:val="005C7AF0"/>
    <w:rsid w:val="005C7EA8"/>
    <w:rsid w:val="005D0B8E"/>
    <w:rsid w:val="005D0BC0"/>
    <w:rsid w:val="005D119E"/>
    <w:rsid w:val="005D22A7"/>
    <w:rsid w:val="005D28EB"/>
    <w:rsid w:val="005D34FA"/>
    <w:rsid w:val="005D3501"/>
    <w:rsid w:val="005D4CC1"/>
    <w:rsid w:val="005D6E08"/>
    <w:rsid w:val="005D751F"/>
    <w:rsid w:val="005D77C1"/>
    <w:rsid w:val="005E030B"/>
    <w:rsid w:val="005E1BD5"/>
    <w:rsid w:val="005E2019"/>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785"/>
    <w:rsid w:val="00601EB5"/>
    <w:rsid w:val="00602636"/>
    <w:rsid w:val="00602A0D"/>
    <w:rsid w:val="00602A35"/>
    <w:rsid w:val="00604FAF"/>
    <w:rsid w:val="006051D5"/>
    <w:rsid w:val="006052A2"/>
    <w:rsid w:val="00605DE0"/>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4F1"/>
    <w:rsid w:val="006248DB"/>
    <w:rsid w:val="00624B33"/>
    <w:rsid w:val="006251B3"/>
    <w:rsid w:val="00625D4D"/>
    <w:rsid w:val="00626388"/>
    <w:rsid w:val="006264EC"/>
    <w:rsid w:val="00626AD1"/>
    <w:rsid w:val="00631764"/>
    <w:rsid w:val="00631E9E"/>
    <w:rsid w:val="00631FCF"/>
    <w:rsid w:val="006320D6"/>
    <w:rsid w:val="006328F6"/>
    <w:rsid w:val="0063295A"/>
    <w:rsid w:val="00632E3E"/>
    <w:rsid w:val="0063302E"/>
    <w:rsid w:val="0063319A"/>
    <w:rsid w:val="006343AD"/>
    <w:rsid w:val="00634B06"/>
    <w:rsid w:val="006353C1"/>
    <w:rsid w:val="0063644F"/>
    <w:rsid w:val="00636EFA"/>
    <w:rsid w:val="00637757"/>
    <w:rsid w:val="00637B67"/>
    <w:rsid w:val="00637CD6"/>
    <w:rsid w:val="0064080C"/>
    <w:rsid w:val="00642E3A"/>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C13"/>
    <w:rsid w:val="006672C8"/>
    <w:rsid w:val="00667FE7"/>
    <w:rsid w:val="00670311"/>
    <w:rsid w:val="00670DA3"/>
    <w:rsid w:val="00671061"/>
    <w:rsid w:val="00671B88"/>
    <w:rsid w:val="0067234E"/>
    <w:rsid w:val="0067322F"/>
    <w:rsid w:val="006756EE"/>
    <w:rsid w:val="00676EFA"/>
    <w:rsid w:val="006778E6"/>
    <w:rsid w:val="0068036B"/>
    <w:rsid w:val="006812D6"/>
    <w:rsid w:val="00681E38"/>
    <w:rsid w:val="00681EB0"/>
    <w:rsid w:val="00682E4D"/>
    <w:rsid w:val="00684734"/>
    <w:rsid w:val="00684C1D"/>
    <w:rsid w:val="006853D7"/>
    <w:rsid w:val="0068546B"/>
    <w:rsid w:val="00686695"/>
    <w:rsid w:val="0068670B"/>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538E"/>
    <w:rsid w:val="006A5AC6"/>
    <w:rsid w:val="006A69C4"/>
    <w:rsid w:val="006A6AB4"/>
    <w:rsid w:val="006A6FFB"/>
    <w:rsid w:val="006A77B5"/>
    <w:rsid w:val="006B031B"/>
    <w:rsid w:val="006B1819"/>
    <w:rsid w:val="006B191B"/>
    <w:rsid w:val="006B1E2C"/>
    <w:rsid w:val="006B228A"/>
    <w:rsid w:val="006B2A15"/>
    <w:rsid w:val="006B2B69"/>
    <w:rsid w:val="006B33D9"/>
    <w:rsid w:val="006B617D"/>
    <w:rsid w:val="006B6403"/>
    <w:rsid w:val="006B7263"/>
    <w:rsid w:val="006B7F07"/>
    <w:rsid w:val="006C0447"/>
    <w:rsid w:val="006C0B40"/>
    <w:rsid w:val="006C1076"/>
    <w:rsid w:val="006C1581"/>
    <w:rsid w:val="006C298E"/>
    <w:rsid w:val="006C2D40"/>
    <w:rsid w:val="006C41F9"/>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89F"/>
    <w:rsid w:val="007469A0"/>
    <w:rsid w:val="00747866"/>
    <w:rsid w:val="007479E4"/>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EB"/>
    <w:rsid w:val="007610D6"/>
    <w:rsid w:val="007631BF"/>
    <w:rsid w:val="00763516"/>
    <w:rsid w:val="007651D8"/>
    <w:rsid w:val="00765643"/>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B79"/>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29ED"/>
    <w:rsid w:val="007D31C9"/>
    <w:rsid w:val="007D3445"/>
    <w:rsid w:val="007D378D"/>
    <w:rsid w:val="007D48EB"/>
    <w:rsid w:val="007D5917"/>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675"/>
    <w:rsid w:val="007E59B4"/>
    <w:rsid w:val="007E741A"/>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501"/>
    <w:rsid w:val="00804149"/>
    <w:rsid w:val="008044DE"/>
    <w:rsid w:val="0080489A"/>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305"/>
    <w:rsid w:val="0083258D"/>
    <w:rsid w:val="00832AE0"/>
    <w:rsid w:val="008331F4"/>
    <w:rsid w:val="008332A0"/>
    <w:rsid w:val="00833847"/>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6ED"/>
    <w:rsid w:val="008549F5"/>
    <w:rsid w:val="00855926"/>
    <w:rsid w:val="00855B18"/>
    <w:rsid w:val="00855E7C"/>
    <w:rsid w:val="00856F5B"/>
    <w:rsid w:val="008607AA"/>
    <w:rsid w:val="008622F4"/>
    <w:rsid w:val="00862871"/>
    <w:rsid w:val="00862B13"/>
    <w:rsid w:val="008644F4"/>
    <w:rsid w:val="0086511C"/>
    <w:rsid w:val="008662E0"/>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236D"/>
    <w:rsid w:val="008A2776"/>
    <w:rsid w:val="008A3479"/>
    <w:rsid w:val="008A35CD"/>
    <w:rsid w:val="008A3899"/>
    <w:rsid w:val="008A5E96"/>
    <w:rsid w:val="008A6423"/>
    <w:rsid w:val="008A663C"/>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853"/>
    <w:rsid w:val="009028E0"/>
    <w:rsid w:val="0090322D"/>
    <w:rsid w:val="00903587"/>
    <w:rsid w:val="00903B35"/>
    <w:rsid w:val="00903C56"/>
    <w:rsid w:val="0090611D"/>
    <w:rsid w:val="009063EF"/>
    <w:rsid w:val="0090655F"/>
    <w:rsid w:val="0090698A"/>
    <w:rsid w:val="00906D65"/>
    <w:rsid w:val="00907AA2"/>
    <w:rsid w:val="00907D65"/>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20C18"/>
    <w:rsid w:val="009213B1"/>
    <w:rsid w:val="0092141A"/>
    <w:rsid w:val="00921637"/>
    <w:rsid w:val="009218F3"/>
    <w:rsid w:val="00921B0D"/>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8B2"/>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4FA"/>
    <w:rsid w:val="009828D2"/>
    <w:rsid w:val="0098364A"/>
    <w:rsid w:val="0098396C"/>
    <w:rsid w:val="009843DA"/>
    <w:rsid w:val="00986019"/>
    <w:rsid w:val="0098711B"/>
    <w:rsid w:val="009873A0"/>
    <w:rsid w:val="00990D0C"/>
    <w:rsid w:val="00990EB5"/>
    <w:rsid w:val="00991A59"/>
    <w:rsid w:val="00993A60"/>
    <w:rsid w:val="0099481C"/>
    <w:rsid w:val="009948D4"/>
    <w:rsid w:val="00994ABB"/>
    <w:rsid w:val="00996753"/>
    <w:rsid w:val="009968E3"/>
    <w:rsid w:val="00996C57"/>
    <w:rsid w:val="00997F96"/>
    <w:rsid w:val="009A1A1B"/>
    <w:rsid w:val="009A1A51"/>
    <w:rsid w:val="009A2904"/>
    <w:rsid w:val="009A2947"/>
    <w:rsid w:val="009A2F7F"/>
    <w:rsid w:val="009A329B"/>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64A4"/>
    <w:rsid w:val="009F6FA2"/>
    <w:rsid w:val="009F7399"/>
    <w:rsid w:val="00A00760"/>
    <w:rsid w:val="00A007DA"/>
    <w:rsid w:val="00A00C13"/>
    <w:rsid w:val="00A02740"/>
    <w:rsid w:val="00A0282B"/>
    <w:rsid w:val="00A02E0F"/>
    <w:rsid w:val="00A03112"/>
    <w:rsid w:val="00A0365F"/>
    <w:rsid w:val="00A0425D"/>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30323"/>
    <w:rsid w:val="00A31379"/>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789C"/>
    <w:rsid w:val="00A61EEF"/>
    <w:rsid w:val="00A6238E"/>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A007F"/>
    <w:rsid w:val="00AA0130"/>
    <w:rsid w:val="00AA027F"/>
    <w:rsid w:val="00AA0CBD"/>
    <w:rsid w:val="00AA1036"/>
    <w:rsid w:val="00AA1170"/>
    <w:rsid w:val="00AA1336"/>
    <w:rsid w:val="00AA2342"/>
    <w:rsid w:val="00AA2547"/>
    <w:rsid w:val="00AA2A4F"/>
    <w:rsid w:val="00AA2D3E"/>
    <w:rsid w:val="00AA332B"/>
    <w:rsid w:val="00AA55E1"/>
    <w:rsid w:val="00AA59A6"/>
    <w:rsid w:val="00AA69A3"/>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5258"/>
    <w:rsid w:val="00AE5369"/>
    <w:rsid w:val="00AE64E9"/>
    <w:rsid w:val="00AE6E63"/>
    <w:rsid w:val="00AE7253"/>
    <w:rsid w:val="00AE789B"/>
    <w:rsid w:val="00AE7CFA"/>
    <w:rsid w:val="00AF0543"/>
    <w:rsid w:val="00AF0F1A"/>
    <w:rsid w:val="00AF1FC9"/>
    <w:rsid w:val="00AF22B5"/>
    <w:rsid w:val="00AF3874"/>
    <w:rsid w:val="00AF3B2E"/>
    <w:rsid w:val="00AF4F12"/>
    <w:rsid w:val="00AF56C5"/>
    <w:rsid w:val="00AF5835"/>
    <w:rsid w:val="00AF61E8"/>
    <w:rsid w:val="00AF6681"/>
    <w:rsid w:val="00AF6FBF"/>
    <w:rsid w:val="00B00A7D"/>
    <w:rsid w:val="00B01A7E"/>
    <w:rsid w:val="00B02051"/>
    <w:rsid w:val="00B025CE"/>
    <w:rsid w:val="00B02DAB"/>
    <w:rsid w:val="00B031E5"/>
    <w:rsid w:val="00B032AF"/>
    <w:rsid w:val="00B0567D"/>
    <w:rsid w:val="00B05BD5"/>
    <w:rsid w:val="00B05D95"/>
    <w:rsid w:val="00B06874"/>
    <w:rsid w:val="00B06B94"/>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4220"/>
    <w:rsid w:val="00B24300"/>
    <w:rsid w:val="00B246E6"/>
    <w:rsid w:val="00B25236"/>
    <w:rsid w:val="00B252BE"/>
    <w:rsid w:val="00B25810"/>
    <w:rsid w:val="00B25A61"/>
    <w:rsid w:val="00B26151"/>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4BAB"/>
    <w:rsid w:val="00B54FE0"/>
    <w:rsid w:val="00B5529F"/>
    <w:rsid w:val="00B55378"/>
    <w:rsid w:val="00B55DC3"/>
    <w:rsid w:val="00B56CC5"/>
    <w:rsid w:val="00B56F18"/>
    <w:rsid w:val="00B572A4"/>
    <w:rsid w:val="00B574BA"/>
    <w:rsid w:val="00B57CF4"/>
    <w:rsid w:val="00B6027A"/>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14BA"/>
    <w:rsid w:val="00BC159C"/>
    <w:rsid w:val="00BC25D9"/>
    <w:rsid w:val="00BC26F6"/>
    <w:rsid w:val="00BC28A6"/>
    <w:rsid w:val="00BC2973"/>
    <w:rsid w:val="00BC2D73"/>
    <w:rsid w:val="00BC2F88"/>
    <w:rsid w:val="00BC35CC"/>
    <w:rsid w:val="00BC3942"/>
    <w:rsid w:val="00BC39D9"/>
    <w:rsid w:val="00BC4833"/>
    <w:rsid w:val="00BC495D"/>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F0180"/>
    <w:rsid w:val="00BF07BF"/>
    <w:rsid w:val="00BF1480"/>
    <w:rsid w:val="00BF1A1A"/>
    <w:rsid w:val="00BF20F5"/>
    <w:rsid w:val="00BF29F2"/>
    <w:rsid w:val="00BF3418"/>
    <w:rsid w:val="00BF34CE"/>
    <w:rsid w:val="00BF368D"/>
    <w:rsid w:val="00BF3D67"/>
    <w:rsid w:val="00BF4D15"/>
    <w:rsid w:val="00BF51B4"/>
    <w:rsid w:val="00BF60AD"/>
    <w:rsid w:val="00BF65A6"/>
    <w:rsid w:val="00C01578"/>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5BC"/>
    <w:rsid w:val="00C17709"/>
    <w:rsid w:val="00C17C7B"/>
    <w:rsid w:val="00C17F6C"/>
    <w:rsid w:val="00C201D0"/>
    <w:rsid w:val="00C20449"/>
    <w:rsid w:val="00C20760"/>
    <w:rsid w:val="00C20A81"/>
    <w:rsid w:val="00C212D6"/>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2003"/>
    <w:rsid w:val="00C920A1"/>
    <w:rsid w:val="00C9244A"/>
    <w:rsid w:val="00C92F91"/>
    <w:rsid w:val="00C93E83"/>
    <w:rsid w:val="00C94DF8"/>
    <w:rsid w:val="00C95E0B"/>
    <w:rsid w:val="00C960A6"/>
    <w:rsid w:val="00C96157"/>
    <w:rsid w:val="00C974FD"/>
    <w:rsid w:val="00C97C50"/>
    <w:rsid w:val="00CA0687"/>
    <w:rsid w:val="00CA0D79"/>
    <w:rsid w:val="00CA113A"/>
    <w:rsid w:val="00CA15C6"/>
    <w:rsid w:val="00CA1738"/>
    <w:rsid w:val="00CA19D5"/>
    <w:rsid w:val="00CA2096"/>
    <w:rsid w:val="00CA2D0D"/>
    <w:rsid w:val="00CA3375"/>
    <w:rsid w:val="00CA3E9A"/>
    <w:rsid w:val="00CA4B39"/>
    <w:rsid w:val="00CA553F"/>
    <w:rsid w:val="00CA6198"/>
    <w:rsid w:val="00CA68E4"/>
    <w:rsid w:val="00CA749B"/>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3629"/>
    <w:rsid w:val="00CF42E2"/>
    <w:rsid w:val="00CF4556"/>
    <w:rsid w:val="00CF5080"/>
    <w:rsid w:val="00CF556A"/>
    <w:rsid w:val="00CF5C35"/>
    <w:rsid w:val="00CF60E2"/>
    <w:rsid w:val="00CF6176"/>
    <w:rsid w:val="00CF6188"/>
    <w:rsid w:val="00CF623C"/>
    <w:rsid w:val="00CF628E"/>
    <w:rsid w:val="00CF63AC"/>
    <w:rsid w:val="00CF6BEE"/>
    <w:rsid w:val="00CF75B3"/>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7E0"/>
    <w:rsid w:val="00D07DF5"/>
    <w:rsid w:val="00D1021B"/>
    <w:rsid w:val="00D103B7"/>
    <w:rsid w:val="00D1054A"/>
    <w:rsid w:val="00D106AE"/>
    <w:rsid w:val="00D10806"/>
    <w:rsid w:val="00D11691"/>
    <w:rsid w:val="00D121E7"/>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7922"/>
    <w:rsid w:val="00D3022B"/>
    <w:rsid w:val="00D314DF"/>
    <w:rsid w:val="00D319D3"/>
    <w:rsid w:val="00D31D4B"/>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353"/>
    <w:rsid w:val="00D544EE"/>
    <w:rsid w:val="00D55820"/>
    <w:rsid w:val="00D55DF6"/>
    <w:rsid w:val="00D55E28"/>
    <w:rsid w:val="00D55E57"/>
    <w:rsid w:val="00D601A5"/>
    <w:rsid w:val="00D60547"/>
    <w:rsid w:val="00D60655"/>
    <w:rsid w:val="00D60802"/>
    <w:rsid w:val="00D60C53"/>
    <w:rsid w:val="00D6241B"/>
    <w:rsid w:val="00D63424"/>
    <w:rsid w:val="00D63425"/>
    <w:rsid w:val="00D63597"/>
    <w:rsid w:val="00D63E1D"/>
    <w:rsid w:val="00D645E0"/>
    <w:rsid w:val="00D65338"/>
    <w:rsid w:val="00D66444"/>
    <w:rsid w:val="00D66AA6"/>
    <w:rsid w:val="00D67A41"/>
    <w:rsid w:val="00D67C05"/>
    <w:rsid w:val="00D67DFB"/>
    <w:rsid w:val="00D67F65"/>
    <w:rsid w:val="00D70006"/>
    <w:rsid w:val="00D706CE"/>
    <w:rsid w:val="00D70812"/>
    <w:rsid w:val="00D70FB4"/>
    <w:rsid w:val="00D72921"/>
    <w:rsid w:val="00D7358C"/>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E3"/>
    <w:rsid w:val="00D86D30"/>
    <w:rsid w:val="00D86DE6"/>
    <w:rsid w:val="00D87893"/>
    <w:rsid w:val="00D91993"/>
    <w:rsid w:val="00D923EF"/>
    <w:rsid w:val="00D92A11"/>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3B6"/>
    <w:rsid w:val="00DB3835"/>
    <w:rsid w:val="00DB406F"/>
    <w:rsid w:val="00DB4A41"/>
    <w:rsid w:val="00DB541B"/>
    <w:rsid w:val="00DB6199"/>
    <w:rsid w:val="00DB6A0E"/>
    <w:rsid w:val="00DB6FD8"/>
    <w:rsid w:val="00DB7161"/>
    <w:rsid w:val="00DC0357"/>
    <w:rsid w:val="00DC04CC"/>
    <w:rsid w:val="00DC266B"/>
    <w:rsid w:val="00DC2D82"/>
    <w:rsid w:val="00DC4AD8"/>
    <w:rsid w:val="00DC548C"/>
    <w:rsid w:val="00DC6034"/>
    <w:rsid w:val="00DC603F"/>
    <w:rsid w:val="00DC69DC"/>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650"/>
    <w:rsid w:val="00DD669A"/>
    <w:rsid w:val="00DD67E6"/>
    <w:rsid w:val="00DD71A2"/>
    <w:rsid w:val="00DD7E65"/>
    <w:rsid w:val="00DE0A82"/>
    <w:rsid w:val="00DE112A"/>
    <w:rsid w:val="00DE185B"/>
    <w:rsid w:val="00DE1DC4"/>
    <w:rsid w:val="00DE24E1"/>
    <w:rsid w:val="00DE2848"/>
    <w:rsid w:val="00DE325F"/>
    <w:rsid w:val="00DE343F"/>
    <w:rsid w:val="00DE3783"/>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4B3"/>
    <w:rsid w:val="00E337B4"/>
    <w:rsid w:val="00E339EF"/>
    <w:rsid w:val="00E35024"/>
    <w:rsid w:val="00E35AB0"/>
    <w:rsid w:val="00E35F7E"/>
    <w:rsid w:val="00E36379"/>
    <w:rsid w:val="00E3758D"/>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27BB"/>
    <w:rsid w:val="00E627E2"/>
    <w:rsid w:val="00E6283A"/>
    <w:rsid w:val="00E62D9F"/>
    <w:rsid w:val="00E63615"/>
    <w:rsid w:val="00E63D3C"/>
    <w:rsid w:val="00E63E8F"/>
    <w:rsid w:val="00E64BA1"/>
    <w:rsid w:val="00E65054"/>
    <w:rsid w:val="00E657AD"/>
    <w:rsid w:val="00E66968"/>
    <w:rsid w:val="00E675C9"/>
    <w:rsid w:val="00E67B14"/>
    <w:rsid w:val="00E67F4B"/>
    <w:rsid w:val="00E70D71"/>
    <w:rsid w:val="00E719C0"/>
    <w:rsid w:val="00E726B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67A3"/>
    <w:rsid w:val="00E9721E"/>
    <w:rsid w:val="00EA01EC"/>
    <w:rsid w:val="00EA0257"/>
    <w:rsid w:val="00EA078A"/>
    <w:rsid w:val="00EA078E"/>
    <w:rsid w:val="00EA0AC9"/>
    <w:rsid w:val="00EA15B0"/>
    <w:rsid w:val="00EA1632"/>
    <w:rsid w:val="00EA1A39"/>
    <w:rsid w:val="00EA258F"/>
    <w:rsid w:val="00EA2682"/>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B6A"/>
    <w:rsid w:val="00EB4F2A"/>
    <w:rsid w:val="00EB61D6"/>
    <w:rsid w:val="00EB6E66"/>
    <w:rsid w:val="00EB7590"/>
    <w:rsid w:val="00EC0AE5"/>
    <w:rsid w:val="00EC1016"/>
    <w:rsid w:val="00EC138D"/>
    <w:rsid w:val="00EC1438"/>
    <w:rsid w:val="00EC16A0"/>
    <w:rsid w:val="00EC174D"/>
    <w:rsid w:val="00EC1CD7"/>
    <w:rsid w:val="00EC1FE3"/>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C80"/>
    <w:rsid w:val="00ED7F5F"/>
    <w:rsid w:val="00EE05B5"/>
    <w:rsid w:val="00EE0D27"/>
    <w:rsid w:val="00EE164D"/>
    <w:rsid w:val="00EE1792"/>
    <w:rsid w:val="00EE183E"/>
    <w:rsid w:val="00EE1B48"/>
    <w:rsid w:val="00EE1C07"/>
    <w:rsid w:val="00EE2AEF"/>
    <w:rsid w:val="00EE2C91"/>
    <w:rsid w:val="00EE3979"/>
    <w:rsid w:val="00EE4062"/>
    <w:rsid w:val="00EE545C"/>
    <w:rsid w:val="00EE5750"/>
    <w:rsid w:val="00EE5AB4"/>
    <w:rsid w:val="00EE5F03"/>
    <w:rsid w:val="00EF0353"/>
    <w:rsid w:val="00EF0D79"/>
    <w:rsid w:val="00EF138C"/>
    <w:rsid w:val="00EF24D5"/>
    <w:rsid w:val="00EF3044"/>
    <w:rsid w:val="00EF30AE"/>
    <w:rsid w:val="00EF32D6"/>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70BE1"/>
    <w:rsid w:val="00F70F29"/>
    <w:rsid w:val="00F751CE"/>
    <w:rsid w:val="00F754C6"/>
    <w:rsid w:val="00F776C9"/>
    <w:rsid w:val="00F77B98"/>
    <w:rsid w:val="00F77CF8"/>
    <w:rsid w:val="00F77D98"/>
    <w:rsid w:val="00F8020F"/>
    <w:rsid w:val="00F80FCA"/>
    <w:rsid w:val="00F81276"/>
    <w:rsid w:val="00F829A9"/>
    <w:rsid w:val="00F82DA3"/>
    <w:rsid w:val="00F82E89"/>
    <w:rsid w:val="00F84B70"/>
    <w:rsid w:val="00F84B8B"/>
    <w:rsid w:val="00F85BA9"/>
    <w:rsid w:val="00F86A13"/>
    <w:rsid w:val="00F8779B"/>
    <w:rsid w:val="00F8786D"/>
    <w:rsid w:val="00F87A21"/>
    <w:rsid w:val="00F9065A"/>
    <w:rsid w:val="00F91D22"/>
    <w:rsid w:val="00F92149"/>
    <w:rsid w:val="00F92DAB"/>
    <w:rsid w:val="00F94336"/>
    <w:rsid w:val="00F9480E"/>
    <w:rsid w:val="00F94CBF"/>
    <w:rsid w:val="00F954D3"/>
    <w:rsid w:val="00F96023"/>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2B61"/>
    <w:rsid w:val="00FC327F"/>
    <w:rsid w:val="00FC3B1C"/>
    <w:rsid w:val="00FC42A2"/>
    <w:rsid w:val="00FC488E"/>
    <w:rsid w:val="00FC4AFA"/>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596D"/>
    <w:rsid w:val="00FD59C8"/>
    <w:rsid w:val="00FD7A09"/>
    <w:rsid w:val="00FE05D3"/>
    <w:rsid w:val="00FE1F55"/>
    <w:rsid w:val="00FE2178"/>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C7EA-45B2-4FDC-A3FD-EB81B46A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29</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2015-08-21T07:44:00Z</dcterms:created>
  <dcterms:modified xsi:type="dcterms:W3CDTF">2015-08-22T05:33:00Z</dcterms:modified>
</cp:coreProperties>
</file>