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412F0A" w:rsidRDefault="00C037D8" w:rsidP="00CA785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412F0A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412F0A" w:rsidRDefault="004F642F" w:rsidP="00CA785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640D3C" w:rsidRPr="00412F0A" w:rsidRDefault="00A14FA7" w:rsidP="00640D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412F0A">
        <w:rPr>
          <w:rFonts w:ascii="IRBadr" w:hAnsi="IRBadr" w:cs="IRBadr"/>
          <w:sz w:val="28"/>
          <w:rtl/>
        </w:rPr>
        <w:fldChar w:fldCharType="begin"/>
      </w:r>
      <w:r w:rsidRPr="00412F0A">
        <w:rPr>
          <w:rFonts w:ascii="IRBadr" w:hAnsi="IRBadr" w:cs="IRBadr"/>
          <w:sz w:val="28"/>
          <w:rtl/>
        </w:rPr>
        <w:instrText xml:space="preserve"> </w:instrText>
      </w:r>
      <w:r w:rsidRPr="00412F0A">
        <w:rPr>
          <w:rFonts w:ascii="IRBadr" w:hAnsi="IRBadr" w:cs="IRBadr"/>
          <w:sz w:val="28"/>
        </w:rPr>
        <w:instrText>TOC</w:instrText>
      </w:r>
      <w:r w:rsidRPr="00412F0A">
        <w:rPr>
          <w:rFonts w:ascii="IRBadr" w:hAnsi="IRBadr" w:cs="IRBadr"/>
          <w:sz w:val="28"/>
          <w:rtl/>
        </w:rPr>
        <w:instrText xml:space="preserve"> \</w:instrText>
      </w:r>
      <w:r w:rsidRPr="00412F0A">
        <w:rPr>
          <w:rFonts w:ascii="IRBadr" w:hAnsi="IRBadr" w:cs="IRBadr"/>
          <w:sz w:val="28"/>
        </w:rPr>
        <w:instrText>o "</w:instrText>
      </w:r>
      <w:r w:rsidRPr="00412F0A">
        <w:rPr>
          <w:rFonts w:ascii="IRBadr" w:hAnsi="IRBadr" w:cs="IRBadr"/>
          <w:sz w:val="28"/>
          <w:rtl/>
        </w:rPr>
        <w:instrText>1-4</w:instrText>
      </w:r>
      <w:r w:rsidRPr="00412F0A">
        <w:rPr>
          <w:rFonts w:ascii="IRBadr" w:hAnsi="IRBadr" w:cs="IRBadr"/>
          <w:sz w:val="28"/>
        </w:rPr>
        <w:instrText>" \h \z \u</w:instrText>
      </w:r>
      <w:r w:rsidRPr="00412F0A">
        <w:rPr>
          <w:rFonts w:ascii="IRBadr" w:hAnsi="IRBadr" w:cs="IRBadr"/>
          <w:sz w:val="28"/>
          <w:rtl/>
        </w:rPr>
        <w:instrText xml:space="preserve"> </w:instrText>
      </w:r>
      <w:r w:rsidRPr="00412F0A">
        <w:rPr>
          <w:rFonts w:ascii="IRBadr" w:hAnsi="IRBadr" w:cs="IRBadr"/>
          <w:sz w:val="28"/>
          <w:rtl/>
        </w:rPr>
        <w:fldChar w:fldCharType="separate"/>
      </w:r>
      <w:hyperlink w:anchor="_Toc427927882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نوحه برای میت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_Toc427927882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2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7883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مرور بر گذشته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_Toc427927883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2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7884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روایت پنجم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_Toc427927884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2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27885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بررسی روایت از لحاظ سند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_Toc427927885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2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27886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_Toc427927886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2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7887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روایت ششم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_Toc427927887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3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27888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بررسی روایت از لحاظ سندی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_Toc427927888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4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27889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بررسی روایت از لحاظ دلالت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_Toc427927889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4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27890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سه حکم روایت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_Toc427927890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4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27891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احتمالات در مورد «لاینبغی»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_Toc427927891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4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27892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حکم در « تُؤْذِی الْمَلَائِکةَ بِالنَّوْحِ»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_Toc427927892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5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27893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الغای خصوصیت از مرأ به رجل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_Toc427927893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5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640D3C" w:rsidRPr="00412F0A" w:rsidRDefault="00444C69" w:rsidP="00640D3C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927894" w:history="1">
        <w:r w:rsidR="00640D3C" w:rsidRPr="00412F0A">
          <w:rPr>
            <w:rStyle w:val="Hyperlink"/>
            <w:rFonts w:ascii="IRBadr" w:hAnsi="IRBadr" w:cs="IRBadr"/>
            <w:noProof/>
            <w:rtl/>
          </w:rPr>
          <w:t>نکته ظریف</w:t>
        </w:r>
        <w:r w:rsidR="00640D3C" w:rsidRPr="00412F0A">
          <w:rPr>
            <w:rFonts w:ascii="IRBadr" w:hAnsi="IRBadr" w:cs="IRBadr"/>
            <w:noProof/>
            <w:webHidden/>
          </w:rPr>
          <w:tab/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640D3C" w:rsidRPr="00412F0A">
          <w:rPr>
            <w:rFonts w:ascii="IRBadr" w:hAnsi="IRBadr" w:cs="IRBadr"/>
            <w:noProof/>
            <w:webHidden/>
          </w:rPr>
          <w:instrText xml:space="preserve"> PAGEREF _Toc427927894 \h </w:instrText>
        </w:r>
        <w:r w:rsidR="00640D3C" w:rsidRPr="00412F0A">
          <w:rPr>
            <w:rStyle w:val="Hyperlink"/>
            <w:rFonts w:ascii="IRBadr" w:hAnsi="IRBadr" w:cs="IRBadr"/>
            <w:noProof/>
            <w:rtl/>
          </w:rPr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640D3C" w:rsidRPr="00412F0A">
          <w:rPr>
            <w:rFonts w:ascii="IRBadr" w:hAnsi="IRBadr" w:cs="IRBadr"/>
            <w:noProof/>
            <w:webHidden/>
          </w:rPr>
          <w:t>5</w:t>
        </w:r>
        <w:r w:rsidR="00640D3C" w:rsidRPr="00412F0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412F0A" w:rsidRDefault="00A14FA7" w:rsidP="00640D3C">
      <w:pPr>
        <w:pStyle w:val="Heading1"/>
        <w:rPr>
          <w:rFonts w:ascii="IRBadr" w:hAnsi="IRBadr"/>
          <w:bCs w:val="0"/>
          <w:rtl/>
        </w:rPr>
      </w:pPr>
      <w:r w:rsidRPr="00412F0A">
        <w:rPr>
          <w:rFonts w:ascii="IRBadr" w:hAnsi="IRBadr"/>
          <w:rtl/>
        </w:rPr>
        <w:fldChar w:fldCharType="end"/>
      </w:r>
      <w:r w:rsidR="00B33397" w:rsidRPr="00412F0A">
        <w:rPr>
          <w:rFonts w:ascii="IRBadr" w:hAnsi="IRBadr"/>
          <w:rtl/>
        </w:rPr>
        <w:br w:type="page"/>
      </w:r>
    </w:p>
    <w:p w:rsidR="00833847" w:rsidRPr="00412F0A" w:rsidRDefault="00D00213" w:rsidP="00640D3C">
      <w:pPr>
        <w:pStyle w:val="Heading1"/>
        <w:rPr>
          <w:rFonts w:ascii="IRBadr" w:hAnsi="IRBadr"/>
        </w:rPr>
      </w:pPr>
      <w:bookmarkStart w:id="0" w:name="_Toc427927882"/>
      <w:r w:rsidRPr="00412F0A">
        <w:rPr>
          <w:rFonts w:ascii="IRBadr" w:hAnsi="IRBadr"/>
          <w:rtl/>
        </w:rPr>
        <w:lastRenderedPageBreak/>
        <w:t>نوحه برای میت</w:t>
      </w:r>
      <w:bookmarkEnd w:id="0"/>
    </w:p>
    <w:p w:rsidR="003E58EB" w:rsidRPr="00412F0A" w:rsidRDefault="008544C2" w:rsidP="00640D3C">
      <w:pPr>
        <w:pStyle w:val="Heading1"/>
        <w:rPr>
          <w:rFonts w:ascii="IRBadr" w:hAnsi="IRBadr"/>
          <w:rtl/>
        </w:rPr>
      </w:pPr>
      <w:bookmarkStart w:id="1" w:name="_Toc427927883"/>
      <w:r w:rsidRPr="00412F0A">
        <w:rPr>
          <w:rFonts w:ascii="IRBadr" w:hAnsi="IRBadr"/>
          <w:rtl/>
        </w:rPr>
        <w:t>مرور بر گذشته</w:t>
      </w:r>
      <w:bookmarkEnd w:id="1"/>
    </w:p>
    <w:p w:rsidR="008544C2" w:rsidRPr="00412F0A" w:rsidRDefault="008544C2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بحث ما در عزاداری و شیون با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سروصدا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برای میت است. یک تفاوت اساسی در فقه خاصه و عامه وجود دارد. مشهور بین عامه حرمت است و مشهور بین خاصه، جواز است.</w:t>
      </w:r>
    </w:p>
    <w:p w:rsidR="008544C2" w:rsidRPr="00412F0A" w:rsidRDefault="008544C2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روایات باب 17 از ابواب مایکتسب به را بررسی کردیم. روایات اول و دوم دلالت بر جواز 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>می‌کرد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>. روایت سوم بنا بر احتمال جواز را بیان می‌کرد و بنا بر احتمالی حرمت را بیان می‌کرد. روایت چهارم بر حرمت د</w:t>
      </w:r>
      <w:r w:rsidR="00D56FF5" w:rsidRPr="00412F0A">
        <w:rPr>
          <w:rFonts w:ascii="IRBadr" w:hAnsi="IRBadr" w:cs="IRBadr"/>
          <w:sz w:val="28"/>
          <w:szCs w:val="28"/>
          <w:rtl/>
          <w:lang w:bidi="fa-IR"/>
        </w:rPr>
        <w:t>لالت می‌کرد.</w:t>
      </w:r>
    </w:p>
    <w:p w:rsidR="00B10477" w:rsidRPr="00412F0A" w:rsidRDefault="00B10477" w:rsidP="00640D3C">
      <w:pPr>
        <w:pStyle w:val="Heading2"/>
        <w:bidi/>
        <w:rPr>
          <w:rFonts w:ascii="IRBadr" w:hAnsi="IRBadr" w:cs="IRBadr"/>
          <w:rtl/>
        </w:rPr>
      </w:pPr>
      <w:bookmarkStart w:id="2" w:name="_Toc427927884"/>
      <w:r w:rsidRPr="00412F0A">
        <w:rPr>
          <w:rFonts w:ascii="IRBadr" w:hAnsi="IRBadr" w:cs="IRBadr"/>
          <w:rtl/>
        </w:rPr>
        <w:t>روایت پنجم</w:t>
      </w:r>
      <w:bookmarkEnd w:id="2"/>
    </w:p>
    <w:p w:rsidR="00B10477" w:rsidRPr="00412F0A" w:rsidRDefault="00B10477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این روایت نیز از کافی است.</w:t>
      </w:r>
    </w:p>
    <w:p w:rsidR="00B10477" w:rsidRPr="00412F0A" w:rsidRDefault="00640D3C" w:rsidP="00640D3C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وَ عَنْ مُحَمَّدِ بْنِ 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حْ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سَلَمَةَ بْنِ الْخَطَّابِ عَنْ إِبْرَاهِ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مَ بْنِ مُحَمَّدٍ عَنْ عُمَرَ الزَّعْفَرَانِ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ی 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عَنْ أَبِ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عَبْدِ اللَّهِ ع قَالَ: مَنْ أَنْعَمَ اللَّهُ عَلَ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هِ بِنِعْمَةٍ فَجَاءَ عِنْدَ تِلْ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النِّعْمَةِ بِمِزْمَارٍ فَقَدْ 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فَرَهَا وَ مَنْ أُصِ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بَ بِمُصِ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بَةٍ فَجَاءَ عِنْدَ تِلْ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الْمُصِ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بَةِ بِنَائِحَةٍ فَقَدْ 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B10477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فَرَهَا.»</w:t>
      </w:r>
      <w:r w:rsidR="00B10477" w:rsidRPr="00412F0A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</w:p>
    <w:p w:rsidR="00B10477" w:rsidRPr="00412F0A" w:rsidRDefault="00B10477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امام (ع) می‌فرماید: اگر کسی نعمتی پیدا کرد و با آثار لهو و</w:t>
      </w:r>
      <w:r w:rsidR="00674342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لعب شادمانی کرد، کفران </w:t>
      </w:r>
      <w:r w:rsidR="00674342" w:rsidRPr="00412F0A">
        <w:rPr>
          <w:rFonts w:ascii="IRBadr" w:hAnsi="IRBadr" w:cs="IRBadr"/>
          <w:sz w:val="28"/>
          <w:szCs w:val="28"/>
          <w:rtl/>
          <w:lang w:bidi="fa-IR"/>
        </w:rPr>
        <w:t>نعمت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کرده است. در فراز دوم روایت می‌گوید اگر مصیبتی به وی وارد شود و</w:t>
      </w:r>
      <w:r w:rsidR="009C68F5" w:rsidRPr="00412F0A">
        <w:rPr>
          <w:rFonts w:ascii="IRBadr" w:hAnsi="IRBadr" w:cs="IRBadr"/>
          <w:sz w:val="28"/>
          <w:szCs w:val="28"/>
          <w:rtl/>
          <w:lang w:bidi="fa-IR"/>
        </w:rPr>
        <w:t xml:space="preserve"> زنی را آورد تا بر او نوحه بخواند، کفران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C68F5" w:rsidRPr="00412F0A">
        <w:rPr>
          <w:rFonts w:ascii="IRBadr" w:hAnsi="IRBadr" w:cs="IRBadr"/>
          <w:sz w:val="28"/>
          <w:szCs w:val="28"/>
          <w:rtl/>
          <w:lang w:bidi="fa-IR"/>
        </w:rPr>
        <w:t xml:space="preserve">مصیبت کرده است. در حقیقت این کفران عملی است.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سروصدای</w:t>
      </w:r>
      <w:r w:rsidR="009C68F5" w:rsidRPr="00412F0A">
        <w:rPr>
          <w:rFonts w:ascii="IRBadr" w:hAnsi="IRBadr" w:cs="IRBadr"/>
          <w:sz w:val="28"/>
          <w:szCs w:val="28"/>
          <w:rtl/>
          <w:lang w:bidi="fa-IR"/>
        </w:rPr>
        <w:t xml:space="preserve"> غنایی را مقابل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سروصدا</w:t>
      </w:r>
      <w:r w:rsidR="009C68F5" w:rsidRPr="00412F0A">
        <w:rPr>
          <w:rFonts w:ascii="IRBadr" w:hAnsi="IRBadr" w:cs="IRBadr"/>
          <w:sz w:val="28"/>
          <w:szCs w:val="28"/>
          <w:rtl/>
          <w:lang w:bidi="fa-IR"/>
        </w:rPr>
        <w:t>ی هنگام مصیبت قرار داده است.</w:t>
      </w:r>
    </w:p>
    <w:p w:rsidR="009C68F5" w:rsidRPr="00412F0A" w:rsidRDefault="00AE57E1" w:rsidP="00640D3C">
      <w:pPr>
        <w:pStyle w:val="Heading3"/>
        <w:bidi/>
        <w:rPr>
          <w:rFonts w:ascii="IRBadr" w:hAnsi="IRBadr" w:cs="IRBadr"/>
          <w:rtl/>
        </w:rPr>
      </w:pPr>
      <w:bookmarkStart w:id="4" w:name="_Toc427927885"/>
      <w:r w:rsidRPr="00412F0A">
        <w:rPr>
          <w:rFonts w:ascii="IRBadr" w:hAnsi="IRBadr" w:cs="IRBadr"/>
          <w:rtl/>
        </w:rPr>
        <w:t>بررسی روایت از لحاظ سند</w:t>
      </w:r>
      <w:bookmarkEnd w:id="4"/>
    </w:p>
    <w:p w:rsidR="00AE57E1" w:rsidRPr="00412F0A" w:rsidRDefault="00AE57E1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این سند تام نیست. عمر الزعفرانی مجهول است. توثیق ندارد.</w:t>
      </w:r>
    </w:p>
    <w:p w:rsidR="00AE57E1" w:rsidRPr="00412F0A" w:rsidRDefault="00AE57E1" w:rsidP="00640D3C">
      <w:pPr>
        <w:pStyle w:val="Heading3"/>
        <w:bidi/>
        <w:rPr>
          <w:rFonts w:ascii="IRBadr" w:hAnsi="IRBadr" w:cs="IRBadr"/>
          <w:rtl/>
        </w:rPr>
      </w:pPr>
      <w:bookmarkStart w:id="5" w:name="_Toc427927886"/>
      <w:r w:rsidRPr="00412F0A">
        <w:rPr>
          <w:rFonts w:ascii="IRBadr" w:hAnsi="IRBadr" w:cs="IRBadr"/>
          <w:rtl/>
        </w:rPr>
        <w:t>بررسی روایت از لحاظ دلالت</w:t>
      </w:r>
      <w:bookmarkEnd w:id="5"/>
    </w:p>
    <w:p w:rsidR="00AE57E1" w:rsidRPr="00412F0A" w:rsidRDefault="00AE57E1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نکته‌</w:t>
      </w:r>
      <w:r w:rsidR="00CF4B2F" w:rsidRPr="00412F0A">
        <w:rPr>
          <w:rFonts w:ascii="IRBadr" w:hAnsi="IRBadr" w:cs="IRBadr"/>
          <w:sz w:val="28"/>
          <w:szCs w:val="28"/>
          <w:rtl/>
          <w:lang w:bidi="fa-IR"/>
        </w:rPr>
        <w:t xml:space="preserve">ی اول 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674342" w:rsidRPr="00412F0A">
        <w:rPr>
          <w:rFonts w:ascii="IRBadr" w:hAnsi="IRBadr" w:cs="IRBadr"/>
          <w:sz w:val="28"/>
          <w:szCs w:val="28"/>
          <w:rtl/>
          <w:lang w:bidi="fa-IR"/>
        </w:rPr>
        <w:t>در روایت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وجود دارد این است که «کفرها» دلالت بر حرمت می‌کند. این «کفرها» کفران عملی است. ممکن است در مورد کراهت به کار برود، اما این قرینه می‌خواهد.</w:t>
      </w:r>
    </w:p>
    <w:p w:rsidR="00F96AF2" w:rsidRPr="00412F0A" w:rsidRDefault="00F96AF2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نکته‌ی دوم این است که در روایت کفر در مقابل نعمت، یک کفران است. این قرینه در کفر معصیت این است کفر عملی است. کفر عملی یعنی عمل ما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برخلاف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عقیده مشروع است.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23A70" w:rsidRPr="00412F0A">
        <w:rPr>
          <w:rFonts w:ascii="IRBadr" w:hAnsi="IRBadr" w:cs="IRBadr"/>
          <w:sz w:val="28"/>
          <w:szCs w:val="28"/>
          <w:rtl/>
          <w:lang w:bidi="fa-IR"/>
        </w:rPr>
        <w:t>احتمال دیگر این است که برای مجانست این دو تعبیر، کفر برای معصیت آورده است.</w:t>
      </w:r>
    </w:p>
    <w:p w:rsidR="00723A70" w:rsidRPr="00412F0A" w:rsidRDefault="00723A70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نکته سوم این است که در طرف نعمت و مصیبت، حرمت بر عمل غنا و ناحه</w:t>
      </w:r>
      <w:r w:rsidR="003E36EE" w:rsidRPr="00412F0A">
        <w:rPr>
          <w:rFonts w:ascii="IRBadr" w:hAnsi="IRBadr" w:cs="IRBadr"/>
          <w:sz w:val="28"/>
          <w:szCs w:val="28"/>
          <w:rtl/>
          <w:lang w:bidi="fa-IR"/>
        </w:rPr>
        <w:t xml:space="preserve"> مترتب نشده است، بلکه بر مقدمات آن مترتب شده است.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36EE" w:rsidRPr="00412F0A">
        <w:rPr>
          <w:rFonts w:ascii="IRBadr" w:hAnsi="IRBadr" w:cs="IRBadr"/>
          <w:sz w:val="28"/>
          <w:szCs w:val="28"/>
          <w:rtl/>
          <w:lang w:bidi="fa-IR"/>
        </w:rPr>
        <w:t xml:space="preserve">کار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مصیبت‌زده‌ای</w:t>
      </w:r>
      <w:r w:rsidR="003E36EE" w:rsidRPr="00412F0A">
        <w:rPr>
          <w:rFonts w:ascii="IRBadr" w:hAnsi="IRBadr" w:cs="IRBadr"/>
          <w:sz w:val="28"/>
          <w:szCs w:val="28"/>
          <w:rtl/>
          <w:lang w:bidi="fa-IR"/>
        </w:rPr>
        <w:t xml:space="preserve"> که شخصی یا اشخاصی را برای ناحه می‌آورد، مورد مذمت قرار گرفته است. موضوع کفران عملی، عمل ناحه و یا غنا نیست. </w:t>
      </w:r>
      <w:r w:rsidR="00DC6C01" w:rsidRPr="00412F0A">
        <w:rPr>
          <w:rFonts w:ascii="IRBadr" w:hAnsi="IRBadr" w:cs="IRBadr"/>
          <w:sz w:val="28"/>
          <w:szCs w:val="28"/>
          <w:rtl/>
          <w:lang w:bidi="fa-IR"/>
        </w:rPr>
        <w:t>مستقیم کفر و عصیان روی کار مصیبت‌زده یا صاحب نعمت آمده است.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6C01" w:rsidRPr="00412F0A">
        <w:rPr>
          <w:rFonts w:ascii="IRBadr" w:hAnsi="IRBadr" w:cs="IRBadr"/>
          <w:sz w:val="28"/>
          <w:szCs w:val="28"/>
          <w:rtl/>
          <w:lang w:bidi="fa-IR"/>
        </w:rPr>
        <w:t xml:space="preserve">منتها روشن است که این ملازمه دارد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بااینکه</w:t>
      </w:r>
      <w:r w:rsidR="00DC6C01" w:rsidRPr="00412F0A">
        <w:rPr>
          <w:rFonts w:ascii="IRBadr" w:hAnsi="IRBadr" w:cs="IRBadr"/>
          <w:sz w:val="28"/>
          <w:szCs w:val="28"/>
          <w:rtl/>
          <w:lang w:bidi="fa-IR"/>
        </w:rPr>
        <w:t xml:space="preserve"> غنا و ناحه حرام است.</w:t>
      </w:r>
      <w:r w:rsidR="001909BA" w:rsidRPr="00412F0A">
        <w:rPr>
          <w:rFonts w:ascii="IRBadr" w:hAnsi="IRBadr" w:cs="IRBadr"/>
          <w:sz w:val="28"/>
          <w:szCs w:val="28"/>
          <w:rtl/>
          <w:lang w:bidi="fa-IR"/>
        </w:rPr>
        <w:t xml:space="preserve"> اینجا عنوان خاصی وجود ندارد، شاید از باب همان اعانه اثم است.</w:t>
      </w:r>
      <w:r w:rsidR="00EE70F3" w:rsidRPr="00412F0A">
        <w:rPr>
          <w:rFonts w:ascii="IRBadr" w:hAnsi="IRBadr" w:cs="IRBadr"/>
          <w:sz w:val="28"/>
          <w:szCs w:val="28"/>
          <w:rtl/>
          <w:lang w:bidi="fa-IR"/>
        </w:rPr>
        <w:t xml:space="preserve"> مقدمه دو نوع معنا دارد: یک معنا همان اعانه است و یک معنا</w:t>
      </w:r>
      <w:r w:rsidR="00DB7CF9" w:rsidRPr="00412F0A">
        <w:rPr>
          <w:rFonts w:ascii="IRBadr" w:hAnsi="IRBadr" w:cs="IRBadr"/>
          <w:sz w:val="28"/>
          <w:szCs w:val="28"/>
          <w:rtl/>
          <w:lang w:bidi="fa-IR"/>
        </w:rPr>
        <w:t xml:space="preserve">ی خاص در مقابل اعانه است. اعانه در نماز یعنی فراهم کردن آب برای نماز ولی فراهم کردن مقدمه به معنای خاص یعنی من خودم مقدماتی را فراهم 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="00DB7CF9" w:rsidRPr="00412F0A">
        <w:rPr>
          <w:rFonts w:ascii="IRBadr" w:hAnsi="IRBadr" w:cs="IRBadr"/>
          <w:sz w:val="28"/>
          <w:szCs w:val="28"/>
          <w:rtl/>
          <w:lang w:bidi="fa-IR"/>
        </w:rPr>
        <w:t xml:space="preserve"> برای اینکه نماز بخوانم.</w:t>
      </w:r>
    </w:p>
    <w:p w:rsidR="00DB7CF9" w:rsidRPr="00412F0A" w:rsidRDefault="003E19C6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نکته چهارم در روایت این است که مستقیماً حرمت اکتساب را بیان نمی‌کند، ولی بر اساس قاعده وقتی عملی حرام شود، اکتساب به آن نیز حرام است.</w:t>
      </w:r>
    </w:p>
    <w:p w:rsidR="00EC2AAD" w:rsidRPr="00412F0A" w:rsidRDefault="00EC2AAD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در نتیجه روایت چهارم و پنجم دلالت بر حرمت می‌کنند، اما سنداً ضعیف هستند.</w:t>
      </w:r>
    </w:p>
    <w:p w:rsidR="00AF7F48" w:rsidRPr="00412F0A" w:rsidRDefault="00AF7F48" w:rsidP="00640D3C">
      <w:pPr>
        <w:pStyle w:val="Heading2"/>
        <w:bidi/>
        <w:rPr>
          <w:rFonts w:ascii="IRBadr" w:hAnsi="IRBadr" w:cs="IRBadr"/>
          <w:rtl/>
        </w:rPr>
      </w:pPr>
      <w:bookmarkStart w:id="6" w:name="_Toc427927887"/>
      <w:r w:rsidRPr="00412F0A">
        <w:rPr>
          <w:rFonts w:ascii="IRBadr" w:hAnsi="IRBadr" w:cs="IRBadr"/>
          <w:rtl/>
        </w:rPr>
        <w:t>روایت ششم</w:t>
      </w:r>
      <w:bookmarkEnd w:id="6"/>
    </w:p>
    <w:p w:rsidR="00AF7F48" w:rsidRPr="00412F0A" w:rsidRDefault="00640D3C" w:rsidP="00CA785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وَ عَنْ بَعْضِ أَصْحَابِنَا عَنْ مُحَمَّدِ بْنِ حَسَّانَ عَنْ مُحَمَّدِ بْنِ زَنْجَوَ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عَنْ عَبْدِ اللَّهِ بْنِ الْحَ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مِ عَنْ عَبْدِ اللَّهِ بْنِ إِبْرَاهِ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مَ الْجَعْفَرِ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خَدِ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جَةَ بِنْتِ عُمَرَ بْنِ عَلِ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بْنِ الْحُسَ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نِ ع فِ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حَدِ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ثٍ قَالَتْ سَمِعْتُ عَمِّ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مُحَمَّدَ بْنَ عَلِ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قُولُ إِنَّمَا تَحْتَاجُ الْمَرْأَةُ إِلَ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النَّوْحِ لِتَسِ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لَ دَمْعَتُهَا وَ لَا 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نْبَغِ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لَهَا أَنْ تَقُولَ هُجْراً فَإِذَا جَاءَ اللَّ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لُ فَلَا تُؤْذِ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الْمَلَائِ</w:t>
      </w:r>
      <w:r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AF7F48" w:rsidRPr="00412F0A">
        <w:rPr>
          <w:rFonts w:ascii="IRBadr" w:hAnsi="IRBadr" w:cs="IRBadr"/>
          <w:b/>
          <w:bCs/>
          <w:sz w:val="28"/>
          <w:szCs w:val="28"/>
          <w:rtl/>
          <w:lang w:bidi="fa-IR"/>
        </w:rPr>
        <w:t>ةَ بِالنَّوْحِ.»</w:t>
      </w:r>
      <w:r w:rsidR="00AF7F48" w:rsidRPr="00412F0A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</w:p>
    <w:p w:rsidR="00AF7F48" w:rsidRPr="00412F0A" w:rsidRDefault="00AF7F48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خدیجه از عمویش امام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محمدباقر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(ع) نقل می‌کند، امام (ع) فرمودند که زن به ناحه نیاز دارد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>تا اشکش جاری شود. این مانعی ندارد. به دلیل بعد عاطفی، نیاز به اشک ریختن دارد تا آرام بشود ولی</w:t>
      </w:r>
      <w:r w:rsidR="005D22F3" w:rsidRPr="00412F0A">
        <w:rPr>
          <w:rFonts w:ascii="IRBadr" w:hAnsi="IRBadr" w:cs="IRBadr"/>
          <w:sz w:val="28"/>
          <w:szCs w:val="28"/>
          <w:rtl/>
          <w:lang w:bidi="fa-IR"/>
        </w:rPr>
        <w:t xml:space="preserve"> شایسته نیست که کلمات بی‌ربط و باطل بگوید. مثلاً کفران خداوند بکند یا حرف‌های خلاف بگوید. </w:t>
      </w:r>
      <w:r w:rsidR="00C77AEE" w:rsidRPr="00412F0A">
        <w:rPr>
          <w:rFonts w:ascii="IRBadr" w:hAnsi="IRBadr" w:cs="IRBadr"/>
          <w:sz w:val="28"/>
          <w:szCs w:val="28"/>
          <w:rtl/>
          <w:lang w:bidi="fa-IR"/>
        </w:rPr>
        <w:t>عزاداری‌ها یک بعد روحی و عاطفی دارند. در شب ملائکه را به نوح آزار ندهید. ملائکه در شب آزار می‌بینند.</w:t>
      </w:r>
    </w:p>
    <w:p w:rsidR="00C77AEE" w:rsidRPr="00412F0A" w:rsidRDefault="00C77AEE" w:rsidP="00640D3C">
      <w:pPr>
        <w:pStyle w:val="Heading3"/>
        <w:bidi/>
        <w:rPr>
          <w:rFonts w:ascii="IRBadr" w:hAnsi="IRBadr" w:cs="IRBadr"/>
          <w:rtl/>
        </w:rPr>
      </w:pPr>
      <w:bookmarkStart w:id="7" w:name="_Toc427927888"/>
      <w:r w:rsidRPr="00412F0A">
        <w:rPr>
          <w:rFonts w:ascii="IRBadr" w:hAnsi="IRBadr" w:cs="IRBadr"/>
          <w:rtl/>
        </w:rPr>
        <w:lastRenderedPageBreak/>
        <w:t>بررسی روایت از لحاظ سندی</w:t>
      </w:r>
      <w:bookmarkEnd w:id="7"/>
    </w:p>
    <w:p w:rsidR="00C77AEE" w:rsidRPr="00412F0A" w:rsidRDefault="00C77AEE" w:rsidP="00E642B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از سند کاملاً بی‌اعتبار است. بعضی از افراد این روایت مجهول هستند و بعضی توثیق ندارند.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7EF0" w:rsidRPr="00412F0A">
        <w:rPr>
          <w:rFonts w:ascii="IRBadr" w:hAnsi="IRBadr" w:cs="IRBadr"/>
          <w:sz w:val="28"/>
          <w:szCs w:val="28"/>
          <w:rtl/>
          <w:lang w:bidi="fa-IR"/>
        </w:rPr>
        <w:t>وقتی در کافی، بعض اصحابنا می‌آید، نامعتبر است ولی وقتی عد</w:t>
      </w:r>
      <w:r w:rsidR="00E642B5">
        <w:rPr>
          <w:rFonts w:ascii="IRBadr" w:hAnsi="IRBadr" w:cs="IRBadr" w:hint="cs"/>
          <w:sz w:val="28"/>
          <w:szCs w:val="28"/>
          <w:rtl/>
          <w:lang w:bidi="fa-IR"/>
        </w:rPr>
        <w:t>ة</w:t>
      </w:r>
      <w:r w:rsidR="00DA7EF0" w:rsidRPr="00412F0A">
        <w:rPr>
          <w:rFonts w:ascii="IRBadr" w:hAnsi="IRBadr" w:cs="IRBadr"/>
          <w:sz w:val="28"/>
          <w:szCs w:val="28"/>
          <w:rtl/>
          <w:lang w:bidi="fa-IR"/>
        </w:rPr>
        <w:t xml:space="preserve"> من اصحابنا می‌آید، معتبر است.</w:t>
      </w:r>
    </w:p>
    <w:p w:rsidR="00DA7EF0" w:rsidRPr="00412F0A" w:rsidRDefault="00DA7EF0" w:rsidP="00640D3C">
      <w:pPr>
        <w:pStyle w:val="Heading3"/>
        <w:bidi/>
        <w:rPr>
          <w:rFonts w:ascii="IRBadr" w:hAnsi="IRBadr" w:cs="IRBadr"/>
          <w:rtl/>
        </w:rPr>
      </w:pPr>
      <w:bookmarkStart w:id="8" w:name="_Toc427927889"/>
      <w:r w:rsidRPr="00412F0A">
        <w:rPr>
          <w:rFonts w:ascii="IRBadr" w:hAnsi="IRBadr" w:cs="IRBadr"/>
          <w:rtl/>
        </w:rPr>
        <w:t>بررسی روایت از لحاظ دلالت</w:t>
      </w:r>
      <w:bookmarkEnd w:id="8"/>
    </w:p>
    <w:p w:rsidR="00DA7EF0" w:rsidRPr="00412F0A" w:rsidRDefault="00DA7EF0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طایفه‌ی مجوزه به شمار می‌آید. در حقیقت این روایت را طایفه سوم تلقی می‌کنیم.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>این روایت اصل ناحه را ایراد نگرفته است اما یک تفصیلی در آن جاری کرده است.</w:t>
      </w:r>
    </w:p>
    <w:p w:rsidR="00DA446D" w:rsidRPr="00412F0A" w:rsidRDefault="00DA446D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جواز این روایت در ابتدا به خاطر قاعده روان‌شناختی است که بیان می‌کند، شارع که این قاعده </w:t>
      </w:r>
      <w:r w:rsidR="00CF75F8" w:rsidRPr="00412F0A">
        <w:rPr>
          <w:rFonts w:ascii="IRBadr" w:hAnsi="IRBadr" w:cs="IRBadr"/>
          <w:sz w:val="28"/>
          <w:szCs w:val="28"/>
          <w:rtl/>
          <w:lang w:bidi="fa-IR"/>
        </w:rPr>
        <w:t>روان‌شناختی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را تبیین می‌کند می‌گوید اشکالی ندارد حتی شاید ظهور در حسن نیز داشته باشد. اگر حسنی نیز استفاده نکنیم از نگاه مولوی قبحی ندارد و جواز دارد.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65BEB" w:rsidRPr="00412F0A">
        <w:rPr>
          <w:rFonts w:ascii="IRBadr" w:hAnsi="IRBadr" w:cs="IRBadr"/>
          <w:sz w:val="28"/>
          <w:szCs w:val="28"/>
          <w:rtl/>
          <w:lang w:bidi="fa-IR"/>
        </w:rPr>
        <w:t>از این روایت استفاده اباحه و جواز می‌شود.</w:t>
      </w:r>
    </w:p>
    <w:p w:rsidR="00565BEB" w:rsidRPr="00412F0A" w:rsidRDefault="00565BEB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در این روایت دو نکته اضافی وجود دارد:</w:t>
      </w:r>
    </w:p>
    <w:p w:rsidR="00565BEB" w:rsidRPr="00412F0A" w:rsidRDefault="00565BEB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1.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طبق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قاعده در شیون </w:t>
      </w:r>
      <w:r w:rsidR="00CF75F8" w:rsidRPr="00412F0A">
        <w:rPr>
          <w:rFonts w:ascii="IRBadr" w:hAnsi="IRBadr" w:cs="IRBadr"/>
          <w:sz w:val="28"/>
          <w:szCs w:val="28"/>
          <w:rtl/>
          <w:lang w:bidi="fa-IR"/>
        </w:rPr>
        <w:t>و زاری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حرف باطلی زده نشود.</w:t>
      </w:r>
    </w:p>
    <w:p w:rsidR="00565BEB" w:rsidRPr="00412F0A" w:rsidRDefault="00565BEB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2.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57550C" w:rsidRPr="00412F0A">
        <w:rPr>
          <w:rFonts w:ascii="IRBadr" w:hAnsi="IRBadr" w:cs="IRBadr"/>
          <w:sz w:val="28"/>
          <w:szCs w:val="28"/>
          <w:rtl/>
          <w:lang w:bidi="fa-IR"/>
        </w:rPr>
        <w:t xml:space="preserve"> شب ملائکه را با نوح آزار ندهید. این یک حکم جدید است.</w:t>
      </w:r>
    </w:p>
    <w:p w:rsidR="006A4C6C" w:rsidRPr="00412F0A" w:rsidRDefault="006A4C6C" w:rsidP="00E642B5">
      <w:pPr>
        <w:pStyle w:val="Heading4"/>
        <w:rPr>
          <w:rtl/>
        </w:rPr>
      </w:pPr>
      <w:bookmarkStart w:id="9" w:name="_Toc427927890"/>
      <w:r w:rsidRPr="00412F0A">
        <w:rPr>
          <w:rtl/>
        </w:rPr>
        <w:t>سه حکم روایت</w:t>
      </w:r>
      <w:bookmarkEnd w:id="9"/>
    </w:p>
    <w:p w:rsidR="006A4C6C" w:rsidRPr="00412F0A" w:rsidRDefault="006A4C6C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1.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جواز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ناحه</w:t>
      </w:r>
    </w:p>
    <w:p w:rsidR="006A4C6C" w:rsidRPr="00412F0A" w:rsidRDefault="006A4C6C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2.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نگفتن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حرف باطل در ناحه</w:t>
      </w:r>
    </w:p>
    <w:p w:rsidR="006A4C6C" w:rsidRPr="00412F0A" w:rsidRDefault="006A4C6C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3.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انجام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ندادن ناحه در شب به خاطر آزار ملائکه</w:t>
      </w:r>
    </w:p>
    <w:p w:rsidR="006A4C6C" w:rsidRPr="00412F0A" w:rsidRDefault="00983426" w:rsidP="00E642B5">
      <w:pPr>
        <w:pStyle w:val="Heading4"/>
        <w:rPr>
          <w:rtl/>
        </w:rPr>
      </w:pPr>
      <w:bookmarkStart w:id="10" w:name="_Toc427927891"/>
      <w:r w:rsidRPr="00412F0A">
        <w:rPr>
          <w:rtl/>
        </w:rPr>
        <w:t>احتمالات در مورد «لاینبغی»</w:t>
      </w:r>
      <w:bookmarkEnd w:id="10"/>
    </w:p>
    <w:p w:rsidR="00CA7857" w:rsidRPr="00412F0A" w:rsidRDefault="00983426" w:rsidP="00CA785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دو احتمال در لاینبغی داده شده است. یک احتمال این است که ظهور در کراهت دارد. </w:t>
      </w:r>
      <w:r w:rsidR="00CA7857" w:rsidRPr="00412F0A">
        <w:rPr>
          <w:rFonts w:ascii="IRBadr" w:hAnsi="IRBadr" w:cs="IRBadr"/>
          <w:sz w:val="28"/>
          <w:szCs w:val="28"/>
          <w:rtl/>
          <w:lang w:bidi="fa-IR"/>
        </w:rPr>
        <w:t>احتمال دوم که اظهرتر است لا ینبغی یک کلمه مستحدث فی کلمات الفقها است. در معنای لغوی یعنی شایسته نیست و درست نیست. نفی شایستگی، ظهور در حرمت دارد.</w:t>
      </w:r>
    </w:p>
    <w:p w:rsidR="00CA7857" w:rsidRPr="00412F0A" w:rsidRDefault="00CA7857" w:rsidP="00D73E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lastRenderedPageBreak/>
        <w:t>«هجرا» یعنی باطل. اگر «لاینبغی» را ظهور در حرمت بگیریم و «هجرا» را نیز کارهای حرام بدانیم</w:t>
      </w:r>
      <w:r w:rsidR="00D73E41" w:rsidRPr="00412F0A">
        <w:rPr>
          <w:rFonts w:ascii="IRBadr" w:hAnsi="IRBadr" w:cs="IRBadr"/>
          <w:sz w:val="28"/>
          <w:szCs w:val="28"/>
          <w:rtl/>
          <w:lang w:bidi="fa-IR"/>
        </w:rPr>
        <w:t>، حرام بودن حرف‌های باطل و حرام است. اگر «هجرا» را به معنای باطل عام بگیریم یعنی اموری که کراهت دارد یا حرام هستند. در این صورت باید «لاینبغی» را به معنای مطلق بگیریم.</w:t>
      </w:r>
    </w:p>
    <w:p w:rsidR="00B23DDF" w:rsidRPr="00412F0A" w:rsidRDefault="00B23DDF" w:rsidP="00E642B5">
      <w:pPr>
        <w:pStyle w:val="Heading4"/>
        <w:rPr>
          <w:rtl/>
        </w:rPr>
      </w:pPr>
      <w:bookmarkStart w:id="11" w:name="_Toc427927892"/>
      <w:r w:rsidRPr="00412F0A">
        <w:rPr>
          <w:rtl/>
        </w:rPr>
        <w:t xml:space="preserve">حکم در </w:t>
      </w:r>
      <w:r w:rsidR="00640D3C" w:rsidRPr="00412F0A">
        <w:rPr>
          <w:rtl/>
        </w:rPr>
        <w:t>«</w:t>
      </w:r>
      <w:r w:rsidRPr="00412F0A">
        <w:rPr>
          <w:rtl/>
        </w:rPr>
        <w:t>تُؤْذِ</w:t>
      </w:r>
      <w:r w:rsidR="00640D3C" w:rsidRPr="00412F0A">
        <w:rPr>
          <w:rtl/>
        </w:rPr>
        <w:t>ی</w:t>
      </w:r>
      <w:r w:rsidRPr="00412F0A">
        <w:rPr>
          <w:rtl/>
        </w:rPr>
        <w:t xml:space="preserve"> الْمَلَائِ</w:t>
      </w:r>
      <w:r w:rsidR="00640D3C" w:rsidRPr="00412F0A">
        <w:rPr>
          <w:rtl/>
        </w:rPr>
        <w:t>ک</w:t>
      </w:r>
      <w:r w:rsidRPr="00412F0A">
        <w:rPr>
          <w:rtl/>
        </w:rPr>
        <w:t>ةَ بِالنَّوْحِ»</w:t>
      </w:r>
      <w:bookmarkEnd w:id="11"/>
    </w:p>
    <w:p w:rsidR="00B23DDF" w:rsidRPr="00412F0A" w:rsidRDefault="00B23DDF" w:rsidP="00B23DD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در اینجا معلوم نیست که صرف ایذاء ملائکه، دلالت بر حرمت بکند. بیشتر با کراهت سازگار است.</w:t>
      </w:r>
      <w:r w:rsidR="00640D3C" w:rsidRPr="00412F0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>از این کراهت نوحه در شب استفاده می‌شود. اکثر فقها نیز گفته‌اند در شب کراهت دارد.</w:t>
      </w:r>
    </w:p>
    <w:p w:rsidR="00171BA6" w:rsidRPr="00E642B5" w:rsidRDefault="00171BA6" w:rsidP="00E642B5">
      <w:pPr>
        <w:pStyle w:val="Heading4"/>
        <w:rPr>
          <w:rtl/>
        </w:rPr>
      </w:pPr>
      <w:bookmarkStart w:id="12" w:name="_Toc427927893"/>
      <w:r w:rsidRPr="00E642B5">
        <w:rPr>
          <w:rtl/>
        </w:rPr>
        <w:t>الغای خصوصیت از مرأ</w:t>
      </w:r>
      <w:r w:rsidR="00E642B5" w:rsidRPr="00E642B5">
        <w:rPr>
          <w:rFonts w:hint="cs"/>
          <w:rtl/>
        </w:rPr>
        <w:t>ة</w:t>
      </w:r>
      <w:r w:rsidRPr="00E642B5">
        <w:rPr>
          <w:rtl/>
        </w:rPr>
        <w:t xml:space="preserve"> به رجل</w:t>
      </w:r>
      <w:bookmarkEnd w:id="12"/>
    </w:p>
    <w:p w:rsidR="00171BA6" w:rsidRPr="00412F0A" w:rsidRDefault="00171BA6" w:rsidP="00171BA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در اینجا امکان الغای خصوصیت ندارد. البته </w:t>
      </w:r>
      <w:r w:rsidR="00E642B5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412F0A">
        <w:rPr>
          <w:rFonts w:ascii="IRBadr" w:hAnsi="IRBadr" w:cs="IRBadr"/>
          <w:sz w:val="28"/>
          <w:szCs w:val="28"/>
          <w:rtl/>
          <w:lang w:bidi="fa-IR"/>
        </w:rPr>
        <w:t xml:space="preserve"> می‌گوییم در اینجا الغای خصوصیت نمی‌شود دلالت بر حرمت و کراهت بر مرد نمی‌کند، منتها میزان دلالت روایت بر جواز فقط برای زن است. الغای خصوصیت در اینجا نمی‌شود.</w:t>
      </w:r>
    </w:p>
    <w:p w:rsidR="005455F1" w:rsidRPr="00412F0A" w:rsidRDefault="005455F1" w:rsidP="005455F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اگر این احتمال را بگوییم، روایت دوم نیز چنین است و فقط بر زنان دلالت می‌کند. روایت اول، اطلاق بر مرد و زن داشت ولی این روایت و روایت دوم،‌ برای زنان است.</w:t>
      </w:r>
    </w:p>
    <w:p w:rsidR="00BC2E64" w:rsidRPr="00412F0A" w:rsidRDefault="00BC2E64" w:rsidP="00E642B5">
      <w:pPr>
        <w:pStyle w:val="Heading4"/>
        <w:rPr>
          <w:rtl/>
        </w:rPr>
      </w:pPr>
      <w:bookmarkStart w:id="13" w:name="_Toc427927894"/>
      <w:r w:rsidRPr="00412F0A">
        <w:rPr>
          <w:rtl/>
        </w:rPr>
        <w:t>نکته ظریف</w:t>
      </w:r>
      <w:bookmarkEnd w:id="13"/>
    </w:p>
    <w:p w:rsidR="00BC2E64" w:rsidRPr="00412F0A" w:rsidRDefault="00BC2E64" w:rsidP="00BC2E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412F0A">
        <w:rPr>
          <w:rFonts w:ascii="IRBadr" w:hAnsi="IRBadr" w:cs="IRBadr"/>
          <w:sz w:val="28"/>
          <w:szCs w:val="28"/>
          <w:rtl/>
          <w:lang w:bidi="fa-IR"/>
        </w:rPr>
        <w:t>اگر منظور روایت را به شنیدن نوحه از دیگری باشد، مرد و زن را شامل می‌شود.</w:t>
      </w:r>
    </w:p>
    <w:p w:rsidR="00BC2E64" w:rsidRPr="00412F0A" w:rsidRDefault="00BC2E64" w:rsidP="00BC2E6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C45F6" w:rsidRPr="00412F0A" w:rsidRDefault="00CC45F6" w:rsidP="00CC45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CC45F6" w:rsidRPr="00412F0A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69" w:rsidRDefault="00444C69" w:rsidP="000D5800">
      <w:r>
        <w:separator/>
      </w:r>
    </w:p>
  </w:endnote>
  <w:endnote w:type="continuationSeparator" w:id="0">
    <w:p w:rsidR="00444C69" w:rsidRDefault="00444C6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80320" w:rsidRDefault="0078032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2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69" w:rsidRDefault="00444C69" w:rsidP="00417158">
      <w:pPr>
        <w:bidi/>
      </w:pPr>
      <w:r>
        <w:separator/>
      </w:r>
    </w:p>
  </w:footnote>
  <w:footnote w:type="continuationSeparator" w:id="0">
    <w:p w:rsidR="00444C69" w:rsidRDefault="00444C69" w:rsidP="000D5800">
      <w:r>
        <w:continuationSeparator/>
      </w:r>
    </w:p>
  </w:footnote>
  <w:footnote w:id="1">
    <w:p w:rsidR="00B10477" w:rsidRPr="00640D3C" w:rsidRDefault="00B10477" w:rsidP="00640D3C">
      <w:pPr>
        <w:pStyle w:val="FootnoteText"/>
        <w:bidi/>
        <w:rPr>
          <w:rFonts w:hint="cs"/>
          <w:b/>
          <w:bCs/>
          <w:rtl/>
        </w:rPr>
      </w:pPr>
      <w:bookmarkStart w:id="3" w:name="_GoBack"/>
      <w:bookmarkEnd w:id="3"/>
      <w:r w:rsidRPr="00640D3C">
        <w:rPr>
          <w:rStyle w:val="FootnoteReference"/>
          <w:b/>
          <w:bCs/>
        </w:rPr>
        <w:footnoteRef/>
      </w:r>
      <w:r w:rsidRPr="00640D3C">
        <w:rPr>
          <w:b/>
          <w:bCs/>
        </w:rPr>
        <w:t xml:space="preserve"> </w:t>
      </w:r>
      <w:r w:rsidR="00E642B5">
        <w:rPr>
          <w:rFonts w:hint="cs"/>
          <w:b/>
          <w:bCs/>
          <w:rtl/>
        </w:rPr>
        <w:t xml:space="preserve">- </w:t>
      </w:r>
      <w:r w:rsidRPr="00640D3C">
        <w:rPr>
          <w:rFonts w:hint="cs"/>
          <w:b/>
          <w:bCs/>
          <w:rtl/>
        </w:rPr>
        <w:t>وسائل الشیعه، ج 17، ص 127</w:t>
      </w:r>
      <w:r w:rsidR="00E642B5">
        <w:rPr>
          <w:rFonts w:hint="cs"/>
          <w:b/>
          <w:bCs/>
          <w:rtl/>
        </w:rPr>
        <w:t>.</w:t>
      </w:r>
    </w:p>
  </w:footnote>
  <w:footnote w:id="2">
    <w:p w:rsidR="00AF7F48" w:rsidRPr="00640D3C" w:rsidRDefault="00AF7F48" w:rsidP="00640D3C">
      <w:pPr>
        <w:pStyle w:val="FootnoteText"/>
        <w:bidi/>
        <w:rPr>
          <w:b/>
          <w:bCs/>
          <w:rtl/>
        </w:rPr>
      </w:pPr>
      <w:r w:rsidRPr="00640D3C">
        <w:rPr>
          <w:rStyle w:val="FootnoteReference"/>
          <w:b/>
          <w:bCs/>
        </w:rPr>
        <w:footnoteRef/>
      </w:r>
      <w:r w:rsidRPr="00640D3C">
        <w:rPr>
          <w:b/>
          <w:bCs/>
        </w:rPr>
        <w:t xml:space="preserve"> </w:t>
      </w:r>
      <w:r w:rsidR="00E642B5">
        <w:rPr>
          <w:rFonts w:hint="cs"/>
          <w:b/>
          <w:bCs/>
          <w:rtl/>
        </w:rPr>
        <w:t xml:space="preserve">- </w:t>
      </w:r>
      <w:r w:rsidRPr="00640D3C">
        <w:rPr>
          <w:rFonts w:hint="cs"/>
          <w:b/>
          <w:bCs/>
          <w:rtl/>
        </w:rPr>
        <w:t>همان</w:t>
      </w:r>
      <w:r w:rsidR="00E642B5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20" w:rsidRPr="000D5800" w:rsidRDefault="00780320" w:rsidP="00E86EBB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0F32E355" wp14:editId="2E47E149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69A8A35" wp14:editId="41B4E12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E86EBB">
      <w:rPr>
        <w:rFonts w:ascii="IranNastaliq" w:hAnsi="IranNastaliq" w:cs="IranNastaliq" w:hint="cs"/>
        <w:sz w:val="40"/>
        <w:szCs w:val="40"/>
        <w:rtl/>
      </w:rPr>
      <w:t>3166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38C0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020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5F3"/>
    <w:rsid w:val="001169AD"/>
    <w:rsid w:val="00116AA9"/>
    <w:rsid w:val="0011748E"/>
    <w:rsid w:val="00117955"/>
    <w:rsid w:val="00117DCD"/>
    <w:rsid w:val="00117E71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91D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EF5"/>
    <w:rsid w:val="001875A0"/>
    <w:rsid w:val="00187AB7"/>
    <w:rsid w:val="00187D42"/>
    <w:rsid w:val="001903CC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09D8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21EF"/>
    <w:rsid w:val="00412B05"/>
    <w:rsid w:val="00412F0A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C69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58C"/>
    <w:rsid w:val="00501DF9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55F1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7AAA"/>
    <w:rsid w:val="00561BD9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E08"/>
    <w:rsid w:val="005D751F"/>
    <w:rsid w:val="005D77C1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0D3C"/>
    <w:rsid w:val="00642E3A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4342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B031B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29ED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20C18"/>
    <w:rsid w:val="009213B1"/>
    <w:rsid w:val="0092141A"/>
    <w:rsid w:val="00921637"/>
    <w:rsid w:val="009218F3"/>
    <w:rsid w:val="00921B0D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8B2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59A6"/>
    <w:rsid w:val="00AA69A3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57E1"/>
    <w:rsid w:val="00AE64E9"/>
    <w:rsid w:val="00AE6E63"/>
    <w:rsid w:val="00AE7253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AF79B2"/>
    <w:rsid w:val="00AF7F48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2003"/>
    <w:rsid w:val="00C920A1"/>
    <w:rsid w:val="00C9244A"/>
    <w:rsid w:val="00C92F91"/>
    <w:rsid w:val="00C93E83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19D5"/>
    <w:rsid w:val="00CA2096"/>
    <w:rsid w:val="00CA2D0D"/>
    <w:rsid w:val="00CA3375"/>
    <w:rsid w:val="00CA3E9A"/>
    <w:rsid w:val="00CA4B39"/>
    <w:rsid w:val="00CA553F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7922"/>
    <w:rsid w:val="00D3022B"/>
    <w:rsid w:val="00D314DF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66D1"/>
    <w:rsid w:val="00D371A9"/>
    <w:rsid w:val="00D376FB"/>
    <w:rsid w:val="00D378FA"/>
    <w:rsid w:val="00D37A61"/>
    <w:rsid w:val="00D402AD"/>
    <w:rsid w:val="00D41471"/>
    <w:rsid w:val="00D417C1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4005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E3"/>
    <w:rsid w:val="00D86D30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28BB"/>
    <w:rsid w:val="00DB2A5E"/>
    <w:rsid w:val="00DB2A83"/>
    <w:rsid w:val="00DB33B6"/>
    <w:rsid w:val="00DB3835"/>
    <w:rsid w:val="00DB406F"/>
    <w:rsid w:val="00DB4A41"/>
    <w:rsid w:val="00DB541B"/>
    <w:rsid w:val="00DB6199"/>
    <w:rsid w:val="00DB6A0E"/>
    <w:rsid w:val="00DB6FD8"/>
    <w:rsid w:val="00DB7161"/>
    <w:rsid w:val="00DB7CF9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25F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27BB"/>
    <w:rsid w:val="00E627E2"/>
    <w:rsid w:val="00E6283A"/>
    <w:rsid w:val="00E62D9F"/>
    <w:rsid w:val="00E63615"/>
    <w:rsid w:val="00E63D3C"/>
    <w:rsid w:val="00E63E8F"/>
    <w:rsid w:val="00E642B5"/>
    <w:rsid w:val="00E64BA1"/>
    <w:rsid w:val="00E65054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C80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70F3"/>
    <w:rsid w:val="00EF0353"/>
    <w:rsid w:val="00EF0D79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4146"/>
    <w:rsid w:val="00F751CE"/>
    <w:rsid w:val="00F754C6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2178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642B5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642B5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642B5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642B5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ACCF-B1F5-424C-A08A-1FE5E64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84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8</cp:revision>
  <dcterms:created xsi:type="dcterms:W3CDTF">2015-08-21T08:07:00Z</dcterms:created>
  <dcterms:modified xsi:type="dcterms:W3CDTF">2015-08-22T05:42:00Z</dcterms:modified>
</cp:coreProperties>
</file>