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Fonts w:eastAsia="2  Badr" w:cs="Traditional Arabic" w:hint="cs"/>
          <w:bCs w:val="0"/>
          <w:color w:val="auto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</w:rPr>
      </w:sdtEndPr>
      <w:sdtContent>
        <w:bookmarkEnd w:id="0" w:displacedByCustomXml="prev"/>
        <w:p w:rsidR="00085BC9" w:rsidRPr="00506C8E" w:rsidRDefault="00085BC9" w:rsidP="00AF1ABE">
          <w:pPr>
            <w:pStyle w:val="TOCHeading"/>
            <w:spacing w:before="360" w:after="120"/>
            <w:ind w:firstLine="429"/>
            <w:jc w:val="center"/>
            <w:rPr>
              <w:rFonts w:cs="Traditional Arabic"/>
              <w:rtl/>
            </w:rPr>
          </w:pPr>
          <w:r w:rsidRPr="00506C8E">
            <w:rPr>
              <w:rFonts w:cs="Traditional Arabic" w:hint="cs"/>
              <w:rtl/>
            </w:rPr>
            <w:t>فهرست</w:t>
          </w:r>
        </w:p>
        <w:p w:rsidR="00AF1ABE" w:rsidRPr="00506C8E" w:rsidRDefault="00085BC9" w:rsidP="00AF1ABE">
          <w:pPr>
            <w:pStyle w:val="TOC1"/>
            <w:rPr>
              <w:noProof/>
              <w:sz w:val="22"/>
              <w:szCs w:val="22"/>
            </w:rPr>
          </w:pPr>
          <w:r w:rsidRPr="00506C8E">
            <w:rPr>
              <w:rFonts w:hint="cs"/>
            </w:rPr>
            <w:fldChar w:fldCharType="begin"/>
          </w:r>
          <w:r w:rsidRPr="00506C8E">
            <w:rPr>
              <w:rFonts w:hint="cs"/>
            </w:rPr>
            <w:instrText xml:space="preserve"> TOC \o "1-3" \h \z \u </w:instrText>
          </w:r>
          <w:r w:rsidRPr="00506C8E">
            <w:rPr>
              <w:rFonts w:hint="cs"/>
            </w:rPr>
            <w:fldChar w:fldCharType="separate"/>
          </w:r>
          <w:hyperlink w:anchor="_Toc52820992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مبنا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اعتبار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تنق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مناط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_Toc52820992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2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3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مقدمه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_Toc52820993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2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4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ارزش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فقه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حکمت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_Toc52820994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3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5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اشکال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603C19">
              <w:rPr>
                <w:rStyle w:val="Hyperlink"/>
                <w:rFonts w:hint="eastAsia"/>
                <w:noProof/>
                <w:rtl/>
              </w:rPr>
              <w:t>اخباری‌ها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در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تعل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ل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_Toc52820995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3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6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بررس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ک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نظر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شاذ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و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نادر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_Toc52820996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3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7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جواب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نظر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اخبار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ون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_Toc52820997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4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8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دل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ل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اخبار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ون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بر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حکمت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بودن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تعل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ل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_Toc52820998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4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0999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جواب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از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شبهه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اخبار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ون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_Toc52820999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5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1000" w:history="1">
            <w:r w:rsidR="00603C19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مباحث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تعل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ل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_Toc52821000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5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1001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تفاوت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تنق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مناط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و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تعل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ل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_Toc52821001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6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1002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اقوال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در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مقوله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تنق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مناط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_Toc52821002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7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AF1ABE" w:rsidRPr="00506C8E" w:rsidRDefault="00AC4A13" w:rsidP="00AF1ABE">
          <w:pPr>
            <w:pStyle w:val="TOC1"/>
            <w:rPr>
              <w:noProof/>
              <w:sz w:val="22"/>
              <w:szCs w:val="22"/>
            </w:rPr>
          </w:pPr>
          <w:hyperlink w:anchor="_Toc52821003" w:history="1">
            <w:r w:rsidR="00AF1ABE" w:rsidRPr="00506C8E">
              <w:rPr>
                <w:rStyle w:val="Hyperlink"/>
                <w:rFonts w:hint="eastAsia"/>
                <w:noProof/>
                <w:rtl/>
              </w:rPr>
              <w:t>وجوه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قائل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ن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به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عدم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حج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تنق</w:t>
            </w:r>
            <w:r w:rsidR="00AF1ABE" w:rsidRPr="00506C8E">
              <w:rPr>
                <w:rStyle w:val="Hyperlink"/>
                <w:rFonts w:hint="cs"/>
                <w:noProof/>
                <w:rtl/>
              </w:rPr>
              <w:t>ی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ح</w:t>
            </w:r>
            <w:r w:rsidR="00AF1ABE" w:rsidRPr="00506C8E">
              <w:rPr>
                <w:rStyle w:val="Hyperlink"/>
                <w:noProof/>
                <w:rtl/>
              </w:rPr>
              <w:t xml:space="preserve"> </w:t>
            </w:r>
            <w:r w:rsidR="00AF1ABE" w:rsidRPr="00506C8E">
              <w:rPr>
                <w:rStyle w:val="Hyperlink"/>
                <w:rFonts w:hint="eastAsia"/>
                <w:noProof/>
                <w:rtl/>
              </w:rPr>
              <w:t>مناط</w:t>
            </w:r>
            <w:r w:rsidR="00AF1ABE" w:rsidRPr="00506C8E">
              <w:rPr>
                <w:noProof/>
                <w:webHidden/>
              </w:rPr>
              <w:tab/>
            </w:r>
            <w:r w:rsidR="00AF1ABE" w:rsidRPr="00506C8E">
              <w:rPr>
                <w:rStyle w:val="Hyperlink"/>
                <w:noProof/>
                <w:rtl/>
              </w:rPr>
              <w:fldChar w:fldCharType="begin"/>
            </w:r>
            <w:r w:rsidR="00AF1ABE" w:rsidRPr="00506C8E">
              <w:rPr>
                <w:noProof/>
                <w:webHidden/>
              </w:rPr>
              <w:instrText xml:space="preserve"> PAGEREF _Toc52821003 \h </w:instrText>
            </w:r>
            <w:r w:rsidR="00AF1ABE" w:rsidRPr="00506C8E">
              <w:rPr>
                <w:rStyle w:val="Hyperlink"/>
                <w:noProof/>
                <w:rtl/>
              </w:rPr>
            </w:r>
            <w:r w:rsidR="00AF1ABE" w:rsidRPr="00506C8E">
              <w:rPr>
                <w:rStyle w:val="Hyperlink"/>
                <w:noProof/>
                <w:rtl/>
              </w:rPr>
              <w:fldChar w:fldCharType="separate"/>
            </w:r>
            <w:r w:rsidR="00AF1ABE" w:rsidRPr="00506C8E">
              <w:rPr>
                <w:noProof/>
                <w:webHidden/>
              </w:rPr>
              <w:t>7</w:t>
            </w:r>
            <w:r w:rsidR="00AF1ABE" w:rsidRPr="00506C8E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506C8E" w:rsidRDefault="00085BC9" w:rsidP="00AF1ABE">
          <w:pPr>
            <w:pStyle w:val="TOC1"/>
          </w:pPr>
          <w:r w:rsidRPr="00506C8E">
            <w:rPr>
              <w:rFonts w:hint="cs"/>
              <w:b/>
              <w:bCs/>
              <w:noProof/>
            </w:rPr>
            <w:fldChar w:fldCharType="end"/>
          </w:r>
        </w:p>
      </w:sdtContent>
    </w:sdt>
    <w:p w:rsidR="007F6FBC" w:rsidRPr="00506C8E" w:rsidRDefault="007F6FBC" w:rsidP="00AF1ABE">
      <w:pPr>
        <w:ind w:firstLine="429"/>
        <w:rPr>
          <w:rtl/>
        </w:rPr>
      </w:pPr>
      <w:r w:rsidRPr="00506C8E">
        <w:rPr>
          <w:rFonts w:hint="cs"/>
          <w:rtl/>
        </w:rPr>
        <w:br w:type="page"/>
      </w:r>
    </w:p>
    <w:p w:rsidR="00506C8E" w:rsidRPr="00506C8E" w:rsidRDefault="00506C8E" w:rsidP="00506C8E">
      <w:pPr>
        <w:jc w:val="center"/>
        <w:rPr>
          <w:rtl/>
        </w:rPr>
      </w:pPr>
      <w:bookmarkStart w:id="1" w:name="_Toc52820992"/>
      <w:bookmarkStart w:id="2" w:name="_Toc30425287"/>
      <w:bookmarkStart w:id="3" w:name="_Toc41924346"/>
      <w:r w:rsidRPr="00506C8E">
        <w:rPr>
          <w:rtl/>
        </w:rPr>
        <w:lastRenderedPageBreak/>
        <w:t>بسم الله الرحمن الرحیم</w:t>
      </w:r>
    </w:p>
    <w:p w:rsidR="00506C8E" w:rsidRPr="00506C8E" w:rsidRDefault="00506C8E" w:rsidP="00506C8E">
      <w:pPr>
        <w:pStyle w:val="Heading1"/>
        <w:jc w:val="both"/>
        <w:rPr>
          <w:rtl/>
        </w:rPr>
      </w:pPr>
      <w:bookmarkStart w:id="4" w:name="_Toc29129852"/>
      <w:bookmarkStart w:id="5" w:name="_Toc52641034"/>
      <w:r w:rsidRPr="00506C8E">
        <w:rPr>
          <w:rtl/>
        </w:rPr>
        <w:t>اصول/</w:t>
      </w:r>
      <w:bookmarkEnd w:id="4"/>
      <w:r w:rsidRPr="00506C8E">
        <w:rPr>
          <w:rtl/>
        </w:rPr>
        <w:t xml:space="preserve"> </w:t>
      </w:r>
      <w:r w:rsidRPr="00506C8E">
        <w:rPr>
          <w:color w:val="auto"/>
          <w:rtl/>
        </w:rPr>
        <w:t xml:space="preserve">تعدیه حکم/ </w:t>
      </w:r>
      <w:r w:rsidRPr="00506C8E">
        <w:rPr>
          <w:rFonts w:hint="cs"/>
          <w:color w:val="auto"/>
          <w:rtl/>
        </w:rPr>
        <w:t xml:space="preserve">تنقیح مناط/ </w:t>
      </w:r>
      <w:r w:rsidRPr="00506C8E">
        <w:rPr>
          <w:color w:val="auto"/>
          <w:rtl/>
        </w:rPr>
        <w:t>مقدمات</w:t>
      </w:r>
      <w:bookmarkEnd w:id="5"/>
    </w:p>
    <w:bookmarkEnd w:id="2"/>
    <w:bookmarkEnd w:id="3"/>
    <w:p w:rsidR="00445551" w:rsidRPr="00506C8E" w:rsidRDefault="00445551" w:rsidP="00AF1ABE">
      <w:pPr>
        <w:pStyle w:val="Heading1"/>
        <w:jc w:val="both"/>
        <w:rPr>
          <w:rtl/>
        </w:rPr>
      </w:pPr>
      <w:r w:rsidRPr="00506C8E">
        <w:rPr>
          <w:rFonts w:hint="cs"/>
          <w:rtl/>
        </w:rPr>
        <w:t>مبنای اعتبار تنقیح مناط</w:t>
      </w:r>
      <w:bookmarkEnd w:id="1"/>
    </w:p>
    <w:p w:rsidR="00550D27" w:rsidRPr="00506C8E" w:rsidRDefault="00550D27" w:rsidP="00AF1ABE">
      <w:pPr>
        <w:pStyle w:val="Heading1"/>
        <w:jc w:val="both"/>
        <w:rPr>
          <w:rtl/>
        </w:rPr>
      </w:pPr>
      <w:bookmarkStart w:id="6" w:name="_Toc52820993"/>
      <w:r w:rsidRPr="00506C8E">
        <w:rPr>
          <w:rFonts w:hint="cs"/>
          <w:rtl/>
        </w:rPr>
        <w:t>مقدمه</w:t>
      </w:r>
      <w:bookmarkEnd w:id="6"/>
    </w:p>
    <w:p w:rsidR="00891E54" w:rsidRPr="00506C8E" w:rsidRDefault="00445551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در تنقیح مناط مبحث دیگری که وجود دارد بحث حجیت تنقیح مناط است و اینکه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با تنقیح مناط حکم را تعمیم و توسعه داد و </w:t>
      </w:r>
      <w:r w:rsidR="001367F5" w:rsidRPr="00506C8E">
        <w:rPr>
          <w:rFonts w:hint="cs"/>
          <w:rtl/>
        </w:rPr>
        <w:t>احیاناً</w:t>
      </w:r>
      <w:r w:rsidRPr="00506C8E">
        <w:rPr>
          <w:rFonts w:hint="cs"/>
          <w:rtl/>
        </w:rPr>
        <w:t xml:space="preserve"> تضیق کرد یا</w:t>
      </w:r>
      <w:r w:rsidR="00923F1E" w:rsidRPr="00506C8E">
        <w:rPr>
          <w:rFonts w:hint="cs"/>
          <w:rtl/>
        </w:rPr>
        <w:t xml:space="preserve"> </w:t>
      </w:r>
      <w:r w:rsidRPr="00506C8E">
        <w:rPr>
          <w:rFonts w:hint="cs"/>
          <w:rtl/>
        </w:rPr>
        <w:t>نه؟ مبنای اعتبار تنقیح مناط چیست؟</w:t>
      </w:r>
    </w:p>
    <w:p w:rsidR="00445551" w:rsidRPr="00506C8E" w:rsidRDefault="001367F5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همان‌طور</w:t>
      </w:r>
      <w:r w:rsidR="00445551" w:rsidRPr="00506C8E">
        <w:rPr>
          <w:rFonts w:hint="cs"/>
          <w:rtl/>
        </w:rPr>
        <w:t xml:space="preserve"> که در </w:t>
      </w:r>
      <w:r w:rsidRPr="00506C8E">
        <w:rPr>
          <w:rFonts w:hint="cs"/>
          <w:rtl/>
        </w:rPr>
        <w:t>بحث‌های</w:t>
      </w:r>
      <w:r w:rsidR="00445551" w:rsidRPr="00506C8E">
        <w:rPr>
          <w:rFonts w:hint="cs"/>
          <w:rtl/>
        </w:rPr>
        <w:t xml:space="preserve"> گذشته ملاحظه کردید مناط و ملاک و علت حکم یا در متن آمده و مورد اشاره قرار گرفته است یا اینکه در متن نیست، اگر مناط و علت در متن به شکل صریح و ظاهر آمده باشد که این از مبحث تنقیح مناط بیرون</w:t>
      </w:r>
      <w:r w:rsidR="00506C8E">
        <w:rPr>
          <w:rFonts w:hint="cs"/>
          <w:rtl/>
        </w:rPr>
        <w:t xml:space="preserve"> می‌</w:t>
      </w:r>
      <w:r w:rsidR="00445551" w:rsidRPr="00506C8E">
        <w:rPr>
          <w:rFonts w:hint="cs"/>
          <w:rtl/>
        </w:rPr>
        <w:t>رود علاوه بر اینکه این قسم خودش علی نوعین است برای اینکه این متن صراحت در تعلیل دارد و گاهی صراحت ندارد، ما با ظهوری این علت را</w:t>
      </w:r>
      <w:r w:rsidR="00506C8E">
        <w:rPr>
          <w:rFonts w:hint="cs"/>
          <w:rtl/>
        </w:rPr>
        <w:t xml:space="preserve"> می‌</w:t>
      </w:r>
      <w:r w:rsidR="00445551" w:rsidRPr="00506C8E">
        <w:rPr>
          <w:rFonts w:hint="cs"/>
          <w:rtl/>
        </w:rPr>
        <w:t xml:space="preserve">یابیم از طرف دیگر علت مذکوره در متن گاهی با ادات تعلیل است و گاهی با ادات تعلیل نیست </w:t>
      </w:r>
      <w:r w:rsidR="00506C8E">
        <w:rPr>
          <w:rFonts w:hint="cs"/>
          <w:rtl/>
        </w:rPr>
        <w:t>این‌ها</w:t>
      </w:r>
      <w:r w:rsidR="00445551" w:rsidRPr="00506C8E">
        <w:rPr>
          <w:rFonts w:hint="cs"/>
          <w:rtl/>
        </w:rPr>
        <w:t xml:space="preserve"> فرقی</w:t>
      </w:r>
      <w:r w:rsidR="00506C8E">
        <w:rPr>
          <w:rFonts w:hint="cs"/>
          <w:rtl/>
        </w:rPr>
        <w:t xml:space="preserve"> نمی‌</w:t>
      </w:r>
      <w:r w:rsidR="00445551" w:rsidRPr="00506C8E">
        <w:rPr>
          <w:rFonts w:hint="cs"/>
          <w:rtl/>
        </w:rPr>
        <w:t xml:space="preserve">کند </w:t>
      </w:r>
      <w:r w:rsidR="00506C8E">
        <w:rPr>
          <w:rFonts w:hint="cs"/>
          <w:rtl/>
        </w:rPr>
        <w:t>درهرصورت</w:t>
      </w:r>
      <w:r w:rsidR="00445551" w:rsidRPr="00506C8E">
        <w:rPr>
          <w:rFonts w:hint="cs"/>
          <w:rtl/>
        </w:rPr>
        <w:t xml:space="preserve"> وقتی که علت و مناط حکم در ظهور کلام قرار بگیرد و در دایره ظهورات بیاید، یا تصریحات یا ظهورات بأیِّ لفظٍ و بأیِّ بیانٍ این حجت</w:t>
      </w:r>
      <w:r w:rsidR="00506C8E">
        <w:rPr>
          <w:rFonts w:hint="cs"/>
          <w:rtl/>
        </w:rPr>
        <w:t xml:space="preserve"> می‌</w:t>
      </w:r>
      <w:r w:rsidR="00445551" w:rsidRPr="00506C8E">
        <w:rPr>
          <w:rFonts w:hint="cs"/>
          <w:rtl/>
        </w:rPr>
        <w:t>شود. درجه حجیت تفاوت دارد یک بار متن به صراحت تعلیل را بیان</w:t>
      </w:r>
      <w:r w:rsidR="00506C8E">
        <w:rPr>
          <w:rFonts w:hint="cs"/>
          <w:rtl/>
        </w:rPr>
        <w:t xml:space="preserve"> می‌</w:t>
      </w:r>
      <w:r w:rsidR="00445551" w:rsidRPr="00506C8E">
        <w:rPr>
          <w:rFonts w:hint="cs"/>
          <w:rtl/>
        </w:rPr>
        <w:t>کند یک بار با ظهورش تعلیل را افاده</w:t>
      </w:r>
      <w:r w:rsidR="00506C8E">
        <w:rPr>
          <w:rFonts w:hint="cs"/>
          <w:rtl/>
        </w:rPr>
        <w:t xml:space="preserve"> می‌</w:t>
      </w:r>
      <w:r w:rsidR="00445551" w:rsidRPr="00506C8E">
        <w:rPr>
          <w:rFonts w:hint="cs"/>
          <w:rtl/>
        </w:rPr>
        <w:t>کند</w:t>
      </w:r>
      <w:r w:rsidR="00550D27" w:rsidRPr="00506C8E">
        <w:rPr>
          <w:rFonts w:hint="cs"/>
          <w:rtl/>
        </w:rPr>
        <w:t xml:space="preserve"> ولی </w:t>
      </w:r>
      <w:r w:rsidR="00506C8E">
        <w:rPr>
          <w:rFonts w:hint="cs"/>
          <w:rtl/>
        </w:rPr>
        <w:t>درهرصورت</w:t>
      </w:r>
      <w:r w:rsidR="00550D27" w:rsidRPr="00506C8E">
        <w:rPr>
          <w:rFonts w:hint="cs"/>
          <w:rtl/>
        </w:rPr>
        <w:t xml:space="preserve"> این موارد حجت است و از بحث تنقیح مناط بیرون است.</w:t>
      </w:r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این یک نوع پی بردن به مناط و علت است ولی بر اساس ظهور مستند به الفاظ علیت استفاده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شود. این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از مقوله تعلیل در خطاب و </w:t>
      </w:r>
      <w:r w:rsidR="001367F5" w:rsidRPr="00506C8E">
        <w:rPr>
          <w:rFonts w:hint="cs"/>
          <w:rtl/>
        </w:rPr>
        <w:t>بحث‌های</w:t>
      </w:r>
      <w:r w:rsidRPr="00506C8E">
        <w:rPr>
          <w:rFonts w:hint="cs"/>
          <w:rtl/>
        </w:rPr>
        <w:t xml:space="preserve"> مفصلی که راجع به آن هست. البته در این بحث تعلیل در </w:t>
      </w:r>
      <w:r w:rsidR="00603C19">
        <w:rPr>
          <w:rFonts w:hint="cs"/>
          <w:rtl/>
        </w:rPr>
        <w:t>سال‌های</w:t>
      </w:r>
      <w:r w:rsidRPr="00506C8E">
        <w:rPr>
          <w:rFonts w:hint="cs"/>
          <w:rtl/>
        </w:rPr>
        <w:t xml:space="preserve"> قبل ما به شکل نسبتاً گسترده بحث کردیم و از جمله نکات مهم این </w:t>
      </w:r>
      <w:r w:rsidR="001367F5" w:rsidRPr="00506C8E">
        <w:rPr>
          <w:rFonts w:hint="cs"/>
          <w:rtl/>
        </w:rPr>
        <w:t>است که</w:t>
      </w:r>
      <w:r w:rsidRPr="00506C8E">
        <w:rPr>
          <w:rFonts w:hint="cs"/>
          <w:rtl/>
        </w:rPr>
        <w:t xml:space="preserve"> ما علت و حکمت داریم</w:t>
      </w:r>
      <w:r w:rsidR="00923F1E" w:rsidRPr="00506C8E">
        <w:rPr>
          <w:rFonts w:hint="cs"/>
          <w:rtl/>
        </w:rPr>
        <w:t xml:space="preserve"> و</w:t>
      </w:r>
      <w:r w:rsidRPr="00506C8E">
        <w:rPr>
          <w:rFonts w:hint="cs"/>
          <w:rtl/>
        </w:rPr>
        <w:t xml:space="preserve"> مرز علت و حکمت چیست و از </w:t>
      </w:r>
      <w:r w:rsidR="00603C19">
        <w:rPr>
          <w:rFonts w:hint="cs"/>
          <w:rtl/>
        </w:rPr>
        <w:t>جمله‌ای</w:t>
      </w:r>
      <w:r w:rsidRPr="00506C8E">
        <w:rPr>
          <w:rFonts w:hint="cs"/>
          <w:rtl/>
        </w:rPr>
        <w:t xml:space="preserve">ن بحث که اگر علت نبود و حکمت بود آیا این هیچ ارزش فقهی ندارد یا دارد؟ در آن قسمت اول </w:t>
      </w:r>
      <w:r w:rsidR="001367F5" w:rsidRPr="00506C8E">
        <w:rPr>
          <w:rFonts w:hint="cs"/>
          <w:rtl/>
        </w:rPr>
        <w:t>تأکید</w:t>
      </w:r>
      <w:r w:rsidRPr="00506C8E">
        <w:rPr>
          <w:rFonts w:hint="cs"/>
          <w:rtl/>
        </w:rPr>
        <w:t xml:space="preserve"> شده است جایی که ادات تعلیل یا </w:t>
      </w:r>
      <w:r w:rsidR="00603C19">
        <w:rPr>
          <w:rFonts w:hint="cs"/>
          <w:rtl/>
        </w:rPr>
        <w:t>به‌منزله</w:t>
      </w:r>
      <w:r w:rsidRPr="00506C8E">
        <w:rPr>
          <w:rFonts w:hint="cs"/>
          <w:rtl/>
        </w:rPr>
        <w:t xml:space="preserve"> ادات تعلیل باشد اصل این </w:t>
      </w:r>
      <w:r w:rsidR="001367F5" w:rsidRPr="00506C8E">
        <w:rPr>
          <w:rFonts w:hint="cs"/>
          <w:rtl/>
        </w:rPr>
        <w:t>است که</w:t>
      </w:r>
      <w:r w:rsidRPr="00506C8E">
        <w:rPr>
          <w:rFonts w:hint="cs"/>
          <w:rtl/>
        </w:rPr>
        <w:t xml:space="preserve"> آن را علت بگیریم نه حکمت. آن وقت سخن به اینجا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رسد که چه قرائن و شواهدی ما را از این اصل حمل بر علیت بیرون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برد. یک مقداری این را در مباحث فقهی و اصولی جسته و گریخته بحث کردیم.</w:t>
      </w:r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پس این یک بحث است که اصل علیت است الا ما خرج بالدلیل که حمل بر حکمت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 و جای تفصیلات بیشتری هم دارد</w:t>
      </w:r>
      <w:r w:rsidR="00622B0B" w:rsidRPr="00506C8E">
        <w:rPr>
          <w:rFonts w:hint="cs"/>
          <w:rtl/>
        </w:rPr>
        <w:t>،</w:t>
      </w:r>
      <w:r w:rsidRPr="00506C8E">
        <w:rPr>
          <w:rFonts w:hint="cs"/>
          <w:rtl/>
        </w:rPr>
        <w:t xml:space="preserve"> کم و بیش هم در این ادوار مورد بحث قرار دادیم.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7" w:name="_Toc52820994"/>
      <w:r w:rsidRPr="00506C8E">
        <w:rPr>
          <w:rFonts w:hint="cs"/>
          <w:rtl/>
        </w:rPr>
        <w:lastRenderedPageBreak/>
        <w:t>ارزش فقهی حکمت</w:t>
      </w:r>
      <w:bookmarkEnd w:id="7"/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یک مبحث دیگر این است که آنجایی که با قرائنی شد حکمت، آیا هیچ ارزش فقهی ندارد؟ کما هو المشهور، یا اینکه </w:t>
      </w:r>
      <w:r w:rsidR="00603C19">
        <w:rPr>
          <w:rFonts w:hint="cs"/>
          <w:rtl/>
        </w:rPr>
        <w:t>فی‌الجمله</w:t>
      </w:r>
      <w:r w:rsidRPr="00506C8E">
        <w:rPr>
          <w:rFonts w:hint="cs"/>
          <w:rtl/>
        </w:rPr>
        <w:t xml:space="preserve"> ارزش فق</w:t>
      </w:r>
      <w:r w:rsidR="001367F5" w:rsidRPr="00506C8E">
        <w:rPr>
          <w:rFonts w:hint="cs"/>
          <w:rtl/>
        </w:rPr>
        <w:t>ه</w:t>
      </w:r>
      <w:r w:rsidRPr="00506C8E">
        <w:rPr>
          <w:rFonts w:hint="cs"/>
          <w:rtl/>
        </w:rPr>
        <w:t>ی دارد.</w:t>
      </w:r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اینجا مرحوم آقای داماد قائل بودند که ارزش فقهی دارد و ما هم قائل به این بودیم که ارزش فقهی دارد منتهی با یک </w:t>
      </w:r>
      <w:r w:rsidR="001367F5" w:rsidRPr="00506C8E">
        <w:rPr>
          <w:rtl/>
        </w:rPr>
        <w:t>تفاوت‌ها</w:t>
      </w:r>
      <w:r w:rsidR="001367F5" w:rsidRPr="00506C8E">
        <w:rPr>
          <w:rFonts w:hint="cs"/>
          <w:rtl/>
        </w:rPr>
        <w:t>یی</w:t>
      </w:r>
      <w:r w:rsidRPr="00506C8E">
        <w:rPr>
          <w:rFonts w:hint="cs"/>
          <w:rtl/>
        </w:rPr>
        <w:t>.</w:t>
      </w:r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این هم یک مبحث است و حالا مبحث دیگر این است که دایره ارزش فقهی علت چیست؟ آیا به حد مفهوم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رسد یا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رسد؟ به هر صورت دایره دلالت و میزان دلالت تعلیل در توسعه و تضیق و اثبات و نفی هم محل سخن و جای مباحث دقیقی دارد که در جای خودش</w:t>
      </w:r>
      <w:r w:rsidR="00923F1E" w:rsidRPr="00506C8E">
        <w:rPr>
          <w:rFonts w:hint="cs"/>
          <w:rtl/>
        </w:rPr>
        <w:t xml:space="preserve"> </w:t>
      </w:r>
      <w:r w:rsidRPr="00506C8E">
        <w:rPr>
          <w:rFonts w:hint="cs"/>
          <w:rtl/>
        </w:rPr>
        <w:t>[باید بحث شود].</w:t>
      </w:r>
    </w:p>
    <w:p w:rsidR="00550D27" w:rsidRPr="00506C8E" w:rsidRDefault="00550D27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این چند مبحث در تعلیل است که ربطی به تنقیح مناط ندارد.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8" w:name="_Toc52820995"/>
      <w:r w:rsidRPr="00506C8E">
        <w:rPr>
          <w:rFonts w:hint="cs"/>
          <w:rtl/>
        </w:rPr>
        <w:t xml:space="preserve">اشکال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در تعلیل</w:t>
      </w:r>
      <w:bookmarkEnd w:id="8"/>
    </w:p>
    <w:p w:rsidR="009A6135" w:rsidRPr="00506C8E" w:rsidRDefault="00D9606A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یک مبحث دیگر هم که اینجا به آن اشاره شده است و شاید بعد به آن بپردازیم این است که بعضی از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در این </w:t>
      </w:r>
      <w:r w:rsidR="00603C19">
        <w:rPr>
          <w:rFonts w:hint="cs"/>
          <w:rtl/>
        </w:rPr>
        <w:t>تعلیل‌ها</w:t>
      </w:r>
      <w:r w:rsidRPr="00506C8E">
        <w:rPr>
          <w:rFonts w:hint="cs"/>
          <w:rtl/>
        </w:rPr>
        <w:t xml:space="preserve"> اشکال دارند حتی در تعلیل مصرح و ظاهر در کلمات متکلم هم اشکال دارند منتهی آن نزعه اصولی و جریان مسلط اصولی و غالب اصولیین و حتی بعضی از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</w:t>
      </w:r>
      <w:r w:rsidR="00603C19">
        <w:rPr>
          <w:rFonts w:hint="cs"/>
          <w:rtl/>
        </w:rPr>
        <w:t>قائل‌اند</w:t>
      </w:r>
      <w:r w:rsidRPr="00506C8E">
        <w:rPr>
          <w:rFonts w:hint="cs"/>
          <w:rtl/>
        </w:rPr>
        <w:t xml:space="preserve"> که</w:t>
      </w:r>
      <w:r w:rsidR="00923F1E" w:rsidRPr="00506C8E">
        <w:rPr>
          <w:rFonts w:hint="cs"/>
          <w:rtl/>
        </w:rPr>
        <w:t xml:space="preserve"> </w:t>
      </w:r>
      <w:r w:rsidRPr="00506C8E">
        <w:rPr>
          <w:rFonts w:hint="cs"/>
          <w:rtl/>
        </w:rPr>
        <w:t>تعلیلی که از کلام مستفاد بشود این اعتبار دارد و با آن تعلیل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حکم را توسعه و تضیق داد پس قانون توسعه و تضیق مستند به تعلیل صریح یا ظاهر مستفاد از لفظ، امر بسیار </w:t>
      </w:r>
      <w:r w:rsidR="00603C19">
        <w:rPr>
          <w:rFonts w:hint="cs"/>
          <w:rtl/>
        </w:rPr>
        <w:t>جاافتاده‌ای</w:t>
      </w:r>
      <w:r w:rsidRPr="00506C8E">
        <w:rPr>
          <w:rFonts w:hint="cs"/>
          <w:rtl/>
        </w:rPr>
        <w:t xml:space="preserve"> است </w:t>
      </w:r>
      <w:r w:rsidR="001367F5" w:rsidRPr="00506C8E">
        <w:rPr>
          <w:rtl/>
        </w:rPr>
        <w:t>تقر</w:t>
      </w:r>
      <w:r w:rsidR="001367F5" w:rsidRPr="00506C8E">
        <w:rPr>
          <w:rFonts w:hint="cs"/>
          <w:rtl/>
        </w:rPr>
        <w:t>ی</w:t>
      </w:r>
      <w:r w:rsidR="001367F5" w:rsidRPr="00506C8E">
        <w:rPr>
          <w:rFonts w:hint="eastAsia"/>
          <w:rtl/>
        </w:rPr>
        <w:t>باً</w:t>
      </w:r>
      <w:r w:rsidRPr="00506C8E">
        <w:rPr>
          <w:rFonts w:hint="cs"/>
          <w:rtl/>
        </w:rPr>
        <w:t xml:space="preserve"> در قاطبه اصولیین و حتی در تعدادی از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>. هر چند در اصول این مبحث خوب تحکیم نشده است کما و بیش ما بحث کردیم ولی جایگاه منقحی در اصول موجود ندارد اما مفروض همه این است.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9" w:name="_Toc52820996"/>
      <w:r w:rsidRPr="00506C8E">
        <w:rPr>
          <w:rFonts w:hint="cs"/>
          <w:rtl/>
        </w:rPr>
        <w:t>بررسی یک نظر شاذ و نادر</w:t>
      </w:r>
      <w:bookmarkEnd w:id="9"/>
    </w:p>
    <w:p w:rsidR="00D9606A" w:rsidRPr="00506C8E" w:rsidRDefault="00D9606A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در این قسم البته یک نظر مخالف شاذ و نادری در بعضی از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هست و آن نظر شاذ و نادر ای</w:t>
      </w:r>
      <w:r w:rsidR="00622B0B" w:rsidRPr="00506C8E">
        <w:rPr>
          <w:rFonts w:hint="cs"/>
          <w:rtl/>
        </w:rPr>
        <w:t>ن</w:t>
      </w:r>
      <w:r w:rsidRPr="00506C8E">
        <w:rPr>
          <w:rFonts w:hint="cs"/>
          <w:rtl/>
        </w:rPr>
        <w:t xml:space="preserve"> است که وقتی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فرماید لا تشرب الخمر لانه مسکر،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گویند از این هم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شود استفاده اسکار برای حرمت شرب</w:t>
      </w:r>
      <w:r w:rsidR="00923F1E" w:rsidRPr="00506C8E">
        <w:rPr>
          <w:rFonts w:hint="cs"/>
          <w:rtl/>
        </w:rPr>
        <w:t xml:space="preserve"> </w:t>
      </w:r>
      <w:r w:rsidRPr="00506C8E">
        <w:rPr>
          <w:rFonts w:hint="cs"/>
          <w:rtl/>
        </w:rPr>
        <w:t>در هر جا کرد، علت هم این است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گویند لانه مسکر، </w:t>
      </w:r>
      <w:r w:rsidR="00603C19">
        <w:rPr>
          <w:rFonts w:hint="cs"/>
          <w:rtl/>
        </w:rPr>
        <w:t>جمله‌ای</w:t>
      </w:r>
      <w:r w:rsidRPr="00506C8E">
        <w:rPr>
          <w:rFonts w:hint="cs"/>
          <w:rtl/>
        </w:rPr>
        <w:t xml:space="preserve"> که در تعلیل آمده است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گوید آن مسکر است یعنی تعلیل یک </w:t>
      </w:r>
      <w:r w:rsidR="00603C19">
        <w:rPr>
          <w:rFonts w:hint="cs"/>
          <w:rtl/>
        </w:rPr>
        <w:t>گزاره‌ای</w:t>
      </w:r>
      <w:r w:rsidRPr="00506C8E">
        <w:rPr>
          <w:rFonts w:hint="cs"/>
          <w:rtl/>
        </w:rPr>
        <w:t xml:space="preserve"> است که هو مسکرٌ و شاید در وجه حرمت این «هو» هم دخالت داشته باشد یعنی </w:t>
      </w:r>
      <w:r w:rsidR="00603C19">
        <w:rPr>
          <w:rFonts w:hint="cs"/>
          <w:rtl/>
        </w:rPr>
        <w:t>ویژگی‌های</w:t>
      </w:r>
      <w:r w:rsidRPr="00506C8E">
        <w:rPr>
          <w:rFonts w:hint="cs"/>
          <w:rtl/>
        </w:rPr>
        <w:t xml:space="preserve"> مورد که خمر هم باشد دخالت داشته باشد یعنی حتی از نظر ظهوری هم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توانیم به این لانه مسکر و کلماتی که حاکی و حاوی تعلیل است استناد بکنیم برای اینکه وقتی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لانه مسکر «لِ»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گوید دلیل این لا تشرب الخمر این است که هو مسکرٌ، فقط اسکار نیست «هو» هم هست که </w:t>
      </w:r>
      <w:r w:rsidRPr="00506C8E">
        <w:rPr>
          <w:rFonts w:hint="cs"/>
          <w:rtl/>
        </w:rPr>
        <w:lastRenderedPageBreak/>
        <w:t xml:space="preserve">اشاره به آن </w:t>
      </w:r>
      <w:r w:rsidR="00603C19">
        <w:rPr>
          <w:rFonts w:hint="cs"/>
          <w:rtl/>
        </w:rPr>
        <w:t>ماده‌ای</w:t>
      </w:r>
      <w:r w:rsidRPr="00506C8E">
        <w:rPr>
          <w:rFonts w:hint="cs"/>
          <w:rtl/>
        </w:rPr>
        <w:t xml:space="preserve"> دارد که </w:t>
      </w:r>
      <w:r w:rsidR="00603C19">
        <w:rPr>
          <w:rFonts w:hint="cs"/>
          <w:rtl/>
        </w:rPr>
        <w:t>ویژگی‌های</w:t>
      </w:r>
      <w:r w:rsidRPr="00506C8E">
        <w:rPr>
          <w:rFonts w:hint="cs"/>
          <w:rtl/>
        </w:rPr>
        <w:t>ی دارد.</w:t>
      </w:r>
      <w:r w:rsidR="00807EE0" w:rsidRPr="00506C8E">
        <w:rPr>
          <w:rtl/>
        </w:rPr>
        <w:t xml:space="preserve"> ا</w:t>
      </w:r>
      <w:r w:rsidR="00807EE0" w:rsidRPr="00506C8E">
        <w:rPr>
          <w:rFonts w:hint="cs"/>
          <w:rtl/>
        </w:rPr>
        <w:t>ی</w:t>
      </w:r>
      <w:r w:rsidR="00807EE0" w:rsidRPr="00506C8E">
        <w:rPr>
          <w:rFonts w:hint="eastAsia"/>
          <w:rtl/>
        </w:rPr>
        <w:t>نجا</w:t>
      </w:r>
      <w:r w:rsidRPr="00506C8E">
        <w:rPr>
          <w:rFonts w:hint="cs"/>
          <w:rtl/>
        </w:rPr>
        <w:t xml:space="preserve"> هم از کتاب منبع الحیاة و حجیت قول المجتهد نقل کرده است که فکر کنم این کتاب </w:t>
      </w:r>
      <w:r w:rsidR="001367F5" w:rsidRPr="00506C8E">
        <w:rPr>
          <w:rFonts w:hint="cs"/>
          <w:rtl/>
        </w:rPr>
        <w:t>تألیف</w:t>
      </w:r>
      <w:r w:rsidRPr="00506C8E">
        <w:rPr>
          <w:rFonts w:hint="cs"/>
          <w:rtl/>
        </w:rPr>
        <w:t xml:space="preserve"> مرحوم </w:t>
      </w:r>
      <w:r w:rsidR="00D207CC" w:rsidRPr="00506C8E">
        <w:rPr>
          <w:rFonts w:hint="cs"/>
          <w:rtl/>
        </w:rPr>
        <w:t xml:space="preserve">سید </w:t>
      </w:r>
      <w:r w:rsidR="00603C19">
        <w:rPr>
          <w:rFonts w:hint="cs"/>
          <w:rtl/>
        </w:rPr>
        <w:t>نعمت‌الله</w:t>
      </w:r>
      <w:r w:rsidR="00D207CC" w:rsidRPr="00506C8E">
        <w:rPr>
          <w:rFonts w:hint="cs"/>
          <w:rtl/>
        </w:rPr>
        <w:t xml:space="preserve"> جزایری باشد.</w:t>
      </w:r>
    </w:p>
    <w:p w:rsidR="00D207CC" w:rsidRPr="00506C8E" w:rsidRDefault="00D207CC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در متنی که از ایشان نقل کرده است این است که لا تشرب الخمر لانه مسکر،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بل قد یقال لا یجوز تعدی من مورد الدلیل حتی لو نص علی العله اگر در دلیل به صراحت علت حکم را بیان بکنند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شود به این علت بسنده کرد و اعتماد کرد برای تعمیم و تضیق کقوله لا تشرب الخمر لانه مسکر، چرا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شود به این تعلیل که قسم اولی است که تعلیل است و بحث تنقیح مناط نیست، تعلیل است، استناد کرد؟ برای اینکه یجوز ان تکون عل</w:t>
      </w:r>
      <w:r w:rsidR="001367F5" w:rsidRPr="00506C8E">
        <w:rPr>
          <w:rFonts w:hint="cs"/>
          <w:rtl/>
        </w:rPr>
        <w:t>ة</w:t>
      </w:r>
      <w:r w:rsidRPr="00506C8E">
        <w:rPr>
          <w:rFonts w:hint="cs"/>
          <w:rtl/>
        </w:rPr>
        <w:t xml:space="preserve"> التحریم خصوص اسکار الخمر، لا مطلق الاسکار، احتمال دارد علت تحریم را بگوید این اسکار خمر علت حکم است لا مطلق الاسکار یا به تعبیر دیگر یکون الاسکار جزءَ العلة و جزئه الاخر لم نعرفه، ممکن است لانه مسکر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چیز دیگری هم در کنار اسکار دخالت داشته باشد</w:t>
      </w:r>
      <w:r w:rsidR="00807EE0" w:rsidRPr="00506C8E">
        <w:rPr>
          <w:rtl/>
        </w:rPr>
        <w:t xml:space="preserve">؛ </w:t>
      </w:r>
      <w:r w:rsidRPr="00506C8E">
        <w:rPr>
          <w:rFonts w:hint="cs"/>
          <w:rtl/>
        </w:rPr>
        <w:t>یعنی لانه مسکر دو شبهه در آن هست یکی اینکه اسکار به اضافه آنچه در خمر است</w:t>
      </w:r>
      <w:r w:rsidR="00807EE0" w:rsidRPr="00506C8E">
        <w:rPr>
          <w:rtl/>
        </w:rPr>
        <w:t>؛ و</w:t>
      </w:r>
      <w:r w:rsidRPr="00506C8E">
        <w:rPr>
          <w:rFonts w:hint="cs"/>
          <w:rtl/>
        </w:rPr>
        <w:t xml:space="preserve"> شبهه احتمال دیگری که اینجا ذکر نشده است.</w:t>
      </w:r>
    </w:p>
    <w:p w:rsidR="00D207CC" w:rsidRPr="00506C8E" w:rsidRDefault="00D207CC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بنابراین در قسم اولی که ربطی به تنقیح مناط ندارد بلکه علت مصرحه است و علتی که ظاهر از کلام است و لفظ آن را افاده کرده است به همین صراحت لانه مسکر، در بعضی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این هم محل کلام قرار گرفته است.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10" w:name="_Toc52820997"/>
      <w:r w:rsidRPr="00506C8E">
        <w:rPr>
          <w:rFonts w:hint="cs"/>
          <w:rtl/>
        </w:rPr>
        <w:t>جواب نظر اخباریون</w:t>
      </w:r>
      <w:bookmarkEnd w:id="10"/>
    </w:p>
    <w:p w:rsidR="00D207CC" w:rsidRPr="00506C8E" w:rsidRDefault="00D207CC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منتهی جواب این خیلی واضح است برای اینکه ذات تعلیل هرجایی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آید برای این است که آن مورد را مصداق اصلی قرار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دهد این مثل چینش قیاس است،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العالم متغیرٌ و کل متغیرٍ حادث، در واقع متغیر را مصداق آن حادث قرار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دهد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این هم مصداقی از آن است اینجا هم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گوید لانه مسکر جواب </w:t>
      </w:r>
      <w:r w:rsidR="00603C19">
        <w:rPr>
          <w:rFonts w:hint="cs"/>
          <w:rtl/>
        </w:rPr>
        <w:t>شبهه‌ای</w:t>
      </w:r>
      <w:r w:rsidRPr="00506C8E">
        <w:rPr>
          <w:rFonts w:hint="cs"/>
          <w:rtl/>
        </w:rPr>
        <w:t>ن است ظاهر تعلیل این است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خواهد بگوید این ویژگی ندارد این مصداقی از آن است و اصل آن است تعلیل یعنی این</w:t>
      </w:r>
      <w:r w:rsidR="00807EE0" w:rsidRPr="00506C8E">
        <w:rPr>
          <w:rtl/>
        </w:rPr>
        <w:t xml:space="preserve"> </w:t>
      </w:r>
      <w:r w:rsidRPr="00506C8E">
        <w:rPr>
          <w:rFonts w:hint="cs"/>
          <w:rtl/>
        </w:rPr>
        <w:t>و الا تعلیل نیست. ما وقتی سخنمان را معلل به یک علتی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کنیم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خواهیم بگوییم این مورد دیگر ویژگی ندارد هر چه اینجا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گوییم به خاطر این است که در آن عنوان </w:t>
      </w:r>
      <w:r w:rsidR="001367F5" w:rsidRPr="00506C8E">
        <w:rPr>
          <w:rtl/>
        </w:rPr>
        <w:t>عام‌تر</w:t>
      </w:r>
      <w:r w:rsidRPr="00506C8E">
        <w:rPr>
          <w:rFonts w:hint="cs"/>
          <w:rtl/>
        </w:rPr>
        <w:t xml:space="preserve"> و عنوان اصلی قرار گرفته است در واقع آن عنوان اصلی را همان بما هوَ هو قرار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دهیم.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11" w:name="_Toc52820998"/>
      <w:r w:rsidRPr="00506C8E">
        <w:rPr>
          <w:rFonts w:hint="cs"/>
          <w:rtl/>
        </w:rPr>
        <w:t>دلیل اخباریون بر حکمت بودن تعلیل</w:t>
      </w:r>
      <w:bookmarkEnd w:id="11"/>
    </w:p>
    <w:p w:rsidR="00D207CC" w:rsidRPr="00506C8E" w:rsidRDefault="00D207CC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پس به دلیل دو احتمال برخی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تعلیل را هم </w:t>
      </w:r>
      <w:r w:rsidR="00603C19">
        <w:rPr>
          <w:rFonts w:hint="cs"/>
          <w:rtl/>
        </w:rPr>
        <w:t>به‌طورکلی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گویند </w:t>
      </w:r>
      <w:r w:rsidR="00F07574" w:rsidRPr="00506C8E">
        <w:rPr>
          <w:rFonts w:hint="cs"/>
          <w:rtl/>
        </w:rPr>
        <w:t xml:space="preserve">نوعی حکمت است مفاد این قول این است که «تعلیل حکمةٌ </w:t>
      </w:r>
      <w:r w:rsidR="001367F5" w:rsidRPr="00506C8E">
        <w:rPr>
          <w:rtl/>
        </w:rPr>
        <w:t>مطلقاً</w:t>
      </w:r>
      <w:r w:rsidR="00F07574" w:rsidRPr="00506C8E">
        <w:rPr>
          <w:rFonts w:hint="cs"/>
          <w:rtl/>
        </w:rPr>
        <w:t>» چرا؟ برای اینکه وقتی</w:t>
      </w:r>
      <w:r w:rsidR="00506C8E">
        <w:rPr>
          <w:rFonts w:hint="cs"/>
          <w:rtl/>
        </w:rPr>
        <w:t xml:space="preserve"> می‌</w:t>
      </w:r>
      <w:r w:rsidR="00F07574" w:rsidRPr="00506C8E">
        <w:rPr>
          <w:rFonts w:hint="cs"/>
          <w:rtl/>
        </w:rPr>
        <w:t xml:space="preserve">گوید لانه مسکر، دو احتمال اینجا وجود دارد یکی اینکه «هو» و </w:t>
      </w:r>
      <w:r w:rsidR="00603C19">
        <w:rPr>
          <w:rFonts w:hint="cs"/>
          <w:rtl/>
        </w:rPr>
        <w:t>ویژگی‌های</w:t>
      </w:r>
      <w:r w:rsidR="00F07574" w:rsidRPr="00506C8E">
        <w:rPr>
          <w:rFonts w:hint="cs"/>
          <w:rtl/>
        </w:rPr>
        <w:t xml:space="preserve"> خمریت در اسکار دخالت دارد. احتمال دوم هم اینکه علاوه بر اسکار چیز دیگری هم در این علت دخیل است به خاطر</w:t>
      </w:r>
      <w:r w:rsidR="00532B0A" w:rsidRPr="00506C8E">
        <w:rPr>
          <w:rFonts w:hint="cs"/>
          <w:rtl/>
        </w:rPr>
        <w:t xml:space="preserve"> وجود این دو احتمال بعضی از </w:t>
      </w:r>
      <w:r w:rsidR="00603C19">
        <w:rPr>
          <w:rFonts w:hint="cs"/>
          <w:rtl/>
        </w:rPr>
        <w:t>اخباری‌ها</w:t>
      </w:r>
      <w:r w:rsidR="00532B0A" w:rsidRPr="00506C8E">
        <w:rPr>
          <w:rFonts w:hint="cs"/>
          <w:rtl/>
        </w:rPr>
        <w:t xml:space="preserve"> تعلیل را</w:t>
      </w:r>
      <w:r w:rsidR="00807EE0" w:rsidRPr="00506C8E">
        <w:rPr>
          <w:rtl/>
        </w:rPr>
        <w:t xml:space="preserve"> </w:t>
      </w:r>
      <w:r w:rsidR="00532B0A" w:rsidRPr="00506C8E">
        <w:rPr>
          <w:rFonts w:hint="cs"/>
          <w:rtl/>
        </w:rPr>
        <w:t xml:space="preserve">هم از حیز انتفاع برای تعمیم ساقط </w:t>
      </w:r>
      <w:r w:rsidR="00603C19">
        <w:rPr>
          <w:rFonts w:hint="cs"/>
          <w:rtl/>
        </w:rPr>
        <w:t>کرده‌اند</w:t>
      </w:r>
      <w:r w:rsidR="00532B0A" w:rsidRPr="00506C8E">
        <w:rPr>
          <w:rFonts w:hint="cs"/>
          <w:rtl/>
        </w:rPr>
        <w:t xml:space="preserve"> البته این قول شاذی است در برابر قاطبه.</w:t>
      </w:r>
    </w:p>
    <w:p w:rsidR="00622B0B" w:rsidRPr="00506C8E" w:rsidRDefault="00622B0B" w:rsidP="00AF1ABE">
      <w:pPr>
        <w:pStyle w:val="Heading1"/>
        <w:jc w:val="both"/>
        <w:rPr>
          <w:rtl/>
        </w:rPr>
      </w:pPr>
      <w:bookmarkStart w:id="12" w:name="_Toc52820999"/>
      <w:r w:rsidRPr="00506C8E">
        <w:rPr>
          <w:rFonts w:hint="cs"/>
          <w:rtl/>
        </w:rPr>
        <w:lastRenderedPageBreak/>
        <w:t>جواب از شبهه اخباریون</w:t>
      </w:r>
      <w:bookmarkEnd w:id="12"/>
    </w:p>
    <w:p w:rsidR="00532B0A" w:rsidRPr="00506C8E" w:rsidRDefault="00532B0A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این شبهه به خاطر </w:t>
      </w:r>
      <w:r w:rsidR="00603C19">
        <w:rPr>
          <w:rtl/>
        </w:rPr>
        <w:t>تسر</w:t>
      </w:r>
      <w:r w:rsidR="00603C19">
        <w:rPr>
          <w:rFonts w:hint="cs"/>
          <w:rtl/>
        </w:rPr>
        <w:t>ی</w:t>
      </w:r>
      <w:r w:rsidRPr="00506C8E">
        <w:rPr>
          <w:rFonts w:hint="cs"/>
          <w:rtl/>
        </w:rPr>
        <w:t xml:space="preserve"> دادن </w:t>
      </w:r>
      <w:r w:rsidR="00260E72" w:rsidRPr="00506C8E">
        <w:rPr>
          <w:rFonts w:hint="cs"/>
          <w:rtl/>
        </w:rPr>
        <w:t xml:space="preserve">دو احتمال در تعلیل است </w:t>
      </w:r>
      <w:r w:rsidR="001367F5" w:rsidRPr="00506C8E">
        <w:rPr>
          <w:rtl/>
        </w:rPr>
        <w:t>قطعاً</w:t>
      </w:r>
      <w:r w:rsidR="00260E72" w:rsidRPr="00506C8E">
        <w:rPr>
          <w:rFonts w:hint="cs"/>
          <w:rtl/>
        </w:rPr>
        <w:t xml:space="preserve"> قابل پاسخ است.</w:t>
      </w:r>
      <w:r w:rsidR="00807EE0" w:rsidRPr="00506C8E">
        <w:rPr>
          <w:rtl/>
        </w:rPr>
        <w:t xml:space="preserve"> پاسخ</w:t>
      </w:r>
      <w:r w:rsidR="00260E72" w:rsidRPr="00506C8E">
        <w:rPr>
          <w:rFonts w:hint="cs"/>
          <w:rtl/>
        </w:rPr>
        <w:t xml:space="preserve"> این است که این دو احتمال را </w:t>
      </w:r>
      <w:r w:rsidR="00BF2A64" w:rsidRPr="00506C8E">
        <w:rPr>
          <w:rFonts w:hint="cs"/>
          <w:rtl/>
        </w:rPr>
        <w:t>هر کدام با یک وجهی</w:t>
      </w:r>
      <w:r w:rsidR="00506C8E">
        <w:rPr>
          <w:rFonts w:hint="cs"/>
          <w:rtl/>
        </w:rPr>
        <w:t xml:space="preserve"> می‌</w:t>
      </w:r>
      <w:r w:rsidR="00BF2A64" w:rsidRPr="00506C8E">
        <w:rPr>
          <w:rFonts w:hint="cs"/>
          <w:rtl/>
        </w:rPr>
        <w:t>شود دفع کرد.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احتمال اینکه بگوییم خمریت هم دخالت در اسکار دارد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گوییم خلاف ظاهر است تعلیل است در همه جا، ظاهر تعلیل این است که موضوع و معلل را زیر یک چیز اصلی دیگر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برد </w:t>
      </w:r>
      <w:r w:rsidR="001367F5" w:rsidRPr="00506C8E">
        <w:rPr>
          <w:rFonts w:hint="cs"/>
          <w:rtl/>
        </w:rPr>
        <w:t>اصلاً</w:t>
      </w:r>
      <w:r w:rsidRPr="00506C8E">
        <w:rPr>
          <w:rFonts w:hint="cs"/>
          <w:rtl/>
        </w:rPr>
        <w:t xml:space="preserve"> تعلیل یعنی این به خاطر آن است و تعلیل متمرکز در عنوانی است که حد وسط در قیاس قرار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گیرد. الخمر مسکرٌ و کل مسکرٍ حرام، تعلیل همیشه به حد وسط ارجاع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دهد از نظر منطقی هم بیانش </w:t>
      </w:r>
      <w:r w:rsidR="00603C19">
        <w:rPr>
          <w:rFonts w:hint="cs"/>
          <w:rtl/>
        </w:rPr>
        <w:t>این‌جور</w:t>
      </w:r>
      <w:r w:rsidRPr="00506C8E">
        <w:rPr>
          <w:rFonts w:hint="cs"/>
          <w:rtl/>
        </w:rPr>
        <w:t xml:space="preserve"> است معللُ </w:t>
      </w:r>
      <w:r w:rsidR="00807EE0" w:rsidRPr="00506C8E">
        <w:rPr>
          <w:rtl/>
        </w:rPr>
        <w:t>به</w:t>
      </w:r>
      <w:r w:rsidRPr="00506C8E">
        <w:rPr>
          <w:rFonts w:hint="cs"/>
          <w:rtl/>
        </w:rPr>
        <w:t xml:space="preserve"> همیشه حد وسط است و معلل، حد اصغر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</w:t>
      </w:r>
      <w:r w:rsidR="00807EE0" w:rsidRPr="00506C8E">
        <w:rPr>
          <w:rtl/>
        </w:rPr>
        <w:t>؛ و</w:t>
      </w:r>
      <w:r w:rsidRPr="00506C8E">
        <w:rPr>
          <w:rFonts w:hint="cs"/>
          <w:rtl/>
        </w:rPr>
        <w:t xml:space="preserve"> در قیاس همیشه </w:t>
      </w:r>
      <w:r w:rsidR="00603C19">
        <w:rPr>
          <w:rFonts w:hint="cs"/>
          <w:rtl/>
        </w:rPr>
        <w:t>این‌جور</w:t>
      </w:r>
      <w:r w:rsidRPr="00506C8E">
        <w:rPr>
          <w:rFonts w:hint="cs"/>
          <w:rtl/>
        </w:rPr>
        <w:t xml:space="preserve"> است که معلل ارزشی ندارد آن حد وسط است که به تنهایی نقش ایفا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کند. ظاهر </w:t>
      </w:r>
      <w:r w:rsidR="00603C19">
        <w:rPr>
          <w:rFonts w:hint="cs"/>
          <w:rtl/>
        </w:rPr>
        <w:t>عرفی‌اش</w:t>
      </w:r>
      <w:r w:rsidRPr="00506C8E">
        <w:rPr>
          <w:rFonts w:hint="cs"/>
          <w:rtl/>
        </w:rPr>
        <w:t xml:space="preserve"> هم </w:t>
      </w:r>
      <w:r w:rsidR="00603C19">
        <w:rPr>
          <w:rFonts w:hint="cs"/>
          <w:rtl/>
        </w:rPr>
        <w:t>این‌طور</w:t>
      </w:r>
      <w:r w:rsidRPr="00506C8E">
        <w:rPr>
          <w:rFonts w:hint="cs"/>
          <w:rtl/>
        </w:rPr>
        <w:t xml:space="preserve"> است. </w:t>
      </w:r>
      <w:r w:rsidR="00603C19">
        <w:rPr>
          <w:rFonts w:hint="cs"/>
          <w:rtl/>
        </w:rPr>
        <w:t>منطقی‌اش</w:t>
      </w:r>
      <w:r w:rsidRPr="00506C8E">
        <w:rPr>
          <w:rFonts w:hint="cs"/>
          <w:rtl/>
        </w:rPr>
        <w:t xml:space="preserve"> هم </w:t>
      </w:r>
      <w:r w:rsidR="00603C19">
        <w:rPr>
          <w:rFonts w:hint="cs"/>
          <w:rtl/>
        </w:rPr>
        <w:t>این‌طور</w:t>
      </w:r>
      <w:r w:rsidRPr="00506C8E">
        <w:rPr>
          <w:rFonts w:hint="cs"/>
          <w:rtl/>
        </w:rPr>
        <w:t xml:space="preserve"> است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احتمال اول با این دفع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 پس خصوصیات این حد اصغر یعنی «خمر» دخالتی در حکم ندارد.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اما احتمال دوم لانه مسکرٌ با یک قید دیگری</w:t>
      </w:r>
      <w:r w:rsidR="00807EE0" w:rsidRPr="00506C8E">
        <w:rPr>
          <w:rtl/>
        </w:rPr>
        <w:t xml:space="preserve"> </w:t>
      </w:r>
      <w:r w:rsidRPr="00506C8E">
        <w:rPr>
          <w:rFonts w:hint="cs"/>
          <w:rtl/>
        </w:rPr>
        <w:t>که این با اطلاق دفع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علت اسکار است </w:t>
      </w:r>
      <w:r w:rsidR="001367F5" w:rsidRPr="00506C8E">
        <w:rPr>
          <w:rFonts w:hint="cs"/>
          <w:rtl/>
        </w:rPr>
        <w:t>مطلقاً</w:t>
      </w:r>
      <w:r w:rsidRPr="00506C8E">
        <w:rPr>
          <w:rFonts w:hint="cs"/>
          <w:rtl/>
        </w:rPr>
        <w:t xml:space="preserve">، با </w:t>
      </w:r>
      <w:r w:rsidR="00603C19">
        <w:rPr>
          <w:rFonts w:hint="cs"/>
          <w:rtl/>
        </w:rPr>
        <w:t>قطع‌نظر</w:t>
      </w:r>
      <w:r w:rsidRPr="00506C8E">
        <w:rPr>
          <w:rFonts w:hint="cs"/>
          <w:rtl/>
        </w:rPr>
        <w:t xml:space="preserve"> از هر قید دیگری.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یکی از </w:t>
      </w:r>
      <w:r w:rsidR="00506C8E">
        <w:rPr>
          <w:rFonts w:hint="cs"/>
          <w:rtl/>
        </w:rPr>
        <w:t>این‌ها</w:t>
      </w:r>
      <w:r w:rsidRPr="00506C8E">
        <w:rPr>
          <w:rFonts w:hint="cs"/>
          <w:rtl/>
        </w:rPr>
        <w:t xml:space="preserve"> با ظهور تعلیل دفع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 و احتمال دوم هم به خاطر اطلاق در تعلیل دفع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شود.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این </w:t>
      </w:r>
      <w:r w:rsidR="00603C19">
        <w:rPr>
          <w:rFonts w:hint="cs"/>
          <w:rtl/>
        </w:rPr>
        <w:t>شبهه‌ای</w:t>
      </w:r>
      <w:r w:rsidRPr="00506C8E">
        <w:rPr>
          <w:rFonts w:hint="cs"/>
          <w:rtl/>
        </w:rPr>
        <w:t xml:space="preserve"> است که کل تعلیل</w:t>
      </w:r>
      <w:r w:rsidR="00807EE0" w:rsidRPr="00506C8E">
        <w:rPr>
          <w:rtl/>
        </w:rPr>
        <w:t xml:space="preserve"> </w:t>
      </w:r>
      <w:r w:rsidRPr="00506C8E">
        <w:rPr>
          <w:rFonts w:hint="cs"/>
          <w:rtl/>
        </w:rPr>
        <w:t>وجود دارد.</w:t>
      </w:r>
    </w:p>
    <w:p w:rsidR="00622B0B" w:rsidRPr="00506C8E" w:rsidRDefault="00603C19" w:rsidP="00AF1ABE">
      <w:pPr>
        <w:pStyle w:val="Heading1"/>
        <w:jc w:val="both"/>
        <w:rPr>
          <w:rtl/>
        </w:rPr>
      </w:pPr>
      <w:bookmarkStart w:id="13" w:name="_Toc52821000"/>
      <w:r>
        <w:rPr>
          <w:rFonts w:hint="cs"/>
          <w:rtl/>
        </w:rPr>
        <w:t>جمع‌بندی</w:t>
      </w:r>
      <w:r w:rsidR="00622B0B" w:rsidRPr="00506C8E">
        <w:rPr>
          <w:rFonts w:hint="cs"/>
          <w:rtl/>
        </w:rPr>
        <w:t xml:space="preserve"> مباحث تعلیل</w:t>
      </w:r>
      <w:bookmarkEnd w:id="13"/>
      <w:r w:rsidR="00622B0B" w:rsidRPr="00506C8E">
        <w:rPr>
          <w:rFonts w:hint="cs"/>
          <w:rtl/>
        </w:rPr>
        <w:t xml:space="preserve"> 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این مبحث اول تعلیل از عوامل توسعه و تضیق حکم است منتها توسعه و تضیقی که </w:t>
      </w:r>
      <w:r w:rsidR="00603C19">
        <w:rPr>
          <w:rFonts w:hint="cs"/>
          <w:rtl/>
        </w:rPr>
        <w:t>برمی‌گردد</w:t>
      </w:r>
      <w:r w:rsidRPr="00506C8E">
        <w:rPr>
          <w:rFonts w:hint="cs"/>
          <w:rtl/>
        </w:rPr>
        <w:t xml:space="preserve"> به دلالت ظاهری لفظ، به همین دلیل اینجا هم بحث نشده است به خاطر اینکه دلالت ظاهری روشن است و محل بحث نیست. منتها مباحث تعلیل و علت و اصل تعلیل است و حکمت با وجوه خاصی انتخاب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باید جای دیگر بحث کرد و </w:t>
      </w:r>
      <w:r w:rsidR="00603C19">
        <w:rPr>
          <w:rFonts w:hint="cs"/>
          <w:rtl/>
        </w:rPr>
        <w:t>همین‌طور</w:t>
      </w:r>
      <w:r w:rsidRPr="00506C8E">
        <w:rPr>
          <w:rFonts w:hint="cs"/>
          <w:rtl/>
        </w:rPr>
        <w:t xml:space="preserve"> که تعلیل شد چه مقدار دلالت دارد؟ دایره دلالت و شعاع دلالتش چقدر است؟ و اینکه حتی مفهوم را افاده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کند یا نه؟ بحث دیگری است و بحث سوم این </w:t>
      </w:r>
      <w:r w:rsidR="001367F5" w:rsidRPr="00506C8E">
        <w:rPr>
          <w:rFonts w:hint="cs"/>
          <w:rtl/>
        </w:rPr>
        <w:t>است که</w:t>
      </w:r>
      <w:r w:rsidRPr="00506C8E">
        <w:rPr>
          <w:rFonts w:hint="cs"/>
          <w:rtl/>
        </w:rPr>
        <w:t xml:space="preserve"> آن جا که حکمت شد آیا از نظر دلالات فقیه </w:t>
      </w:r>
      <w:r w:rsidR="00603C19">
        <w:rPr>
          <w:rFonts w:hint="cs"/>
          <w:rtl/>
        </w:rPr>
        <w:t>بی‌ارزش</w:t>
      </w:r>
      <w:r w:rsidRPr="00506C8E">
        <w:rPr>
          <w:rFonts w:hint="cs"/>
          <w:rtl/>
        </w:rPr>
        <w:t xml:space="preserve"> است یا اینکه یک دلالات محدودتری دارد. این هم یک بحث است و یک بحث دیگر اینکه تعلیل قابل اعتماد است یا نیست که اکثریت </w:t>
      </w:r>
      <w:r w:rsidR="00603C19">
        <w:rPr>
          <w:rFonts w:hint="cs"/>
          <w:rtl/>
        </w:rPr>
        <w:t>قائل‌اند</w:t>
      </w:r>
      <w:r w:rsidRPr="00506C8E">
        <w:rPr>
          <w:rFonts w:hint="cs"/>
          <w:rtl/>
        </w:rPr>
        <w:t xml:space="preserve"> قابل اعتماد است و یک قول شاذی است که </w:t>
      </w:r>
      <w:r w:rsidR="00603C19">
        <w:rPr>
          <w:rFonts w:hint="cs"/>
          <w:rtl/>
        </w:rPr>
        <w:t>شبهه‌ای</w:t>
      </w:r>
      <w:r w:rsidRPr="00506C8E">
        <w:rPr>
          <w:rFonts w:hint="cs"/>
          <w:rtl/>
        </w:rPr>
        <w:t xml:space="preserve"> که </w:t>
      </w:r>
      <w:r w:rsidR="001367F5" w:rsidRPr="00506C8E">
        <w:rPr>
          <w:rFonts w:hint="cs"/>
          <w:rtl/>
        </w:rPr>
        <w:t>الآن</w:t>
      </w:r>
      <w:r w:rsidRPr="00506C8E">
        <w:rPr>
          <w:rFonts w:hint="cs"/>
          <w:rtl/>
        </w:rPr>
        <w:t xml:space="preserve"> اشاره شد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پردازد و تعلیل را قبول ندارد حتی تعلیل به معنای </w:t>
      </w:r>
      <w:r w:rsidR="001367F5" w:rsidRPr="00506C8E">
        <w:rPr>
          <w:rFonts w:hint="cs"/>
          <w:rtl/>
        </w:rPr>
        <w:t>اصطلاحی</w:t>
      </w:r>
      <w:r w:rsidRPr="00506C8E">
        <w:rPr>
          <w:rFonts w:hint="cs"/>
          <w:rtl/>
        </w:rPr>
        <w:t xml:space="preserve"> ظاهر که این را جواب دادیم.</w:t>
      </w:r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lastRenderedPageBreak/>
        <w:t>این بسته مباحث مربوط به تعلیل بود که مستفاد از ظهورات است</w:t>
      </w:r>
    </w:p>
    <w:p w:rsidR="00622B0B" w:rsidRPr="00506C8E" w:rsidRDefault="00AF1ABE" w:rsidP="00AF1ABE">
      <w:pPr>
        <w:pStyle w:val="Heading1"/>
        <w:jc w:val="both"/>
        <w:rPr>
          <w:rtl/>
        </w:rPr>
      </w:pPr>
      <w:bookmarkStart w:id="14" w:name="_Toc52821001"/>
      <w:r w:rsidRPr="00506C8E">
        <w:rPr>
          <w:rFonts w:hint="cs"/>
          <w:rtl/>
        </w:rPr>
        <w:t>تفاوت تنقیح مناط و تعلیل</w:t>
      </w:r>
      <w:bookmarkEnd w:id="14"/>
    </w:p>
    <w:p w:rsidR="00BF2A64" w:rsidRPr="00506C8E" w:rsidRDefault="00BF2A64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سخن ما در بسته دوم و نوع دوم</w:t>
      </w:r>
      <w:r w:rsidR="00807EE0" w:rsidRPr="00506C8E">
        <w:rPr>
          <w:rtl/>
        </w:rPr>
        <w:t xml:space="preserve"> </w:t>
      </w:r>
      <w:r w:rsidR="007E1A20" w:rsidRPr="00506C8E">
        <w:rPr>
          <w:rFonts w:hint="cs"/>
          <w:rtl/>
        </w:rPr>
        <w:t>است</w:t>
      </w:r>
      <w:r w:rsidR="00807EE0" w:rsidRPr="00506C8E">
        <w:rPr>
          <w:rtl/>
        </w:rPr>
        <w:t xml:space="preserve"> </w:t>
      </w:r>
      <w:r w:rsidRPr="00506C8E">
        <w:rPr>
          <w:rFonts w:hint="cs"/>
          <w:rtl/>
        </w:rPr>
        <w:t xml:space="preserve">که </w:t>
      </w:r>
      <w:r w:rsidR="001367F5" w:rsidRPr="00506C8E">
        <w:rPr>
          <w:rtl/>
        </w:rPr>
        <w:t>تنق</w:t>
      </w:r>
      <w:r w:rsidR="001367F5" w:rsidRPr="00506C8E">
        <w:rPr>
          <w:rFonts w:hint="cs"/>
          <w:rtl/>
        </w:rPr>
        <w:t>ی</w:t>
      </w:r>
      <w:r w:rsidR="001367F5" w:rsidRPr="00506C8E">
        <w:rPr>
          <w:rFonts w:hint="eastAsia"/>
          <w:rtl/>
        </w:rPr>
        <w:t>ح</w:t>
      </w:r>
      <w:r w:rsidRPr="00506C8E">
        <w:rPr>
          <w:rFonts w:hint="cs"/>
          <w:rtl/>
        </w:rPr>
        <w:t xml:space="preserve"> مناط</w:t>
      </w:r>
      <w:r w:rsidR="00506C8E">
        <w:rPr>
          <w:rFonts w:hint="cs"/>
          <w:rtl/>
        </w:rPr>
        <w:t xml:space="preserve"> می‌</w:t>
      </w:r>
      <w:r w:rsidR="007E1A20" w:rsidRPr="00506C8E">
        <w:rPr>
          <w:rFonts w:hint="cs"/>
          <w:rtl/>
        </w:rPr>
        <w:t>باشد</w:t>
      </w:r>
    </w:p>
    <w:p w:rsidR="007E1A20" w:rsidRPr="00506C8E" w:rsidRDefault="007E1A20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در تنقیح مناط علت را از ظهور لفظی استفاده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کردیم ممکن است طبق آنچه در اینجا آمده و ما در </w:t>
      </w:r>
      <w:r w:rsidR="00603C19">
        <w:rPr>
          <w:rtl/>
        </w:rPr>
        <w:t>مثال‌ها</w:t>
      </w:r>
      <w:r w:rsidRPr="00506C8E">
        <w:rPr>
          <w:rFonts w:hint="cs"/>
          <w:rtl/>
        </w:rPr>
        <w:t xml:space="preserve"> شبهه کردیم مواردی باشد که در لفظ یک اشعاراتی هست اما تنقیح مناط آنجایی است که ظهور علیت و تعلیل در کلام نیست و ظهور لفظی در کلام نیست ما با یک استنباطات عقلی و قرائن عقلی – نقلی به این قرائن نتیجه مناطیت یا علیت یک چیز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رسیم.</w:t>
      </w:r>
    </w:p>
    <w:p w:rsidR="007E1A20" w:rsidRPr="00506C8E" w:rsidRDefault="007E1A20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>تفاوت تنقیح مناط با تعلیل این است، تعلیل مستند به ظهورات است اما تنقیح مناط مستند به ظهورات نیست و بیشتر یک نوع استدلال عقلی و لبی و امثال این است</w:t>
      </w:r>
    </w:p>
    <w:p w:rsidR="007E1A20" w:rsidRPr="00506C8E" w:rsidRDefault="007E1A20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این قسم دوم که محل اختلاف </w:t>
      </w:r>
      <w:r w:rsidR="001367F5" w:rsidRPr="00506C8E">
        <w:rPr>
          <w:rtl/>
        </w:rPr>
        <w:t>جد</w:t>
      </w:r>
      <w:r w:rsidR="001367F5" w:rsidRPr="00506C8E">
        <w:rPr>
          <w:rFonts w:hint="cs"/>
          <w:rtl/>
        </w:rPr>
        <w:t>ی‌</w:t>
      </w:r>
      <w:r w:rsidR="001367F5" w:rsidRPr="00506C8E">
        <w:rPr>
          <w:rFonts w:hint="eastAsia"/>
          <w:rtl/>
        </w:rPr>
        <w:t>تر</w:t>
      </w:r>
      <w:r w:rsidRPr="00506C8E">
        <w:rPr>
          <w:rFonts w:hint="cs"/>
          <w:rtl/>
        </w:rPr>
        <w:t xml:space="preserve"> است در تعلیل لفظی اختلاف چندانی نبود قاطبه اصولیان از عامه و خاصه و حتی جمع کثیری از </w:t>
      </w:r>
      <w:r w:rsidR="00603C19">
        <w:rPr>
          <w:rFonts w:hint="cs"/>
          <w:rtl/>
        </w:rPr>
        <w:t>اخباری‌ها</w:t>
      </w:r>
      <w:r w:rsidRPr="00506C8E">
        <w:rPr>
          <w:rFonts w:hint="cs"/>
          <w:rtl/>
        </w:rPr>
        <w:t xml:space="preserve"> تعلیل را قبول دارند به عنوان یک عامل برای توسعه حکم و </w:t>
      </w:r>
      <w:r w:rsidR="001367F5" w:rsidRPr="00506C8E">
        <w:rPr>
          <w:rFonts w:hint="cs"/>
          <w:rtl/>
        </w:rPr>
        <w:t>احیاناً</w:t>
      </w:r>
      <w:r w:rsidRPr="00506C8E">
        <w:rPr>
          <w:rFonts w:hint="cs"/>
          <w:rtl/>
        </w:rPr>
        <w:t xml:space="preserve"> تضیق حکم</w:t>
      </w:r>
      <w:r w:rsidR="00807EE0" w:rsidRPr="00506C8E">
        <w:rPr>
          <w:rtl/>
        </w:rPr>
        <w:t xml:space="preserve">؛ </w:t>
      </w:r>
      <w:r w:rsidRPr="00506C8E">
        <w:rPr>
          <w:rFonts w:hint="cs"/>
          <w:rtl/>
        </w:rPr>
        <w:t xml:space="preserve">اما در تنقیح مناط نه! </w:t>
      </w:r>
      <w:r w:rsidR="001367F5" w:rsidRPr="00506C8E">
        <w:rPr>
          <w:rFonts w:hint="cs"/>
          <w:rtl/>
        </w:rPr>
        <w:t>واقعاً</w:t>
      </w:r>
      <w:r w:rsidRPr="00506C8E">
        <w:rPr>
          <w:rFonts w:hint="cs"/>
          <w:rtl/>
        </w:rPr>
        <w:t xml:space="preserve"> قول به عدم حجیت دایره بیشتری دارد و </w:t>
      </w:r>
      <w:r w:rsidR="00603C19">
        <w:rPr>
          <w:rFonts w:hint="cs"/>
          <w:rtl/>
        </w:rPr>
        <w:t>اخباری‌های</w:t>
      </w:r>
      <w:r w:rsidRPr="00506C8E">
        <w:rPr>
          <w:rFonts w:hint="cs"/>
          <w:rtl/>
        </w:rPr>
        <w:t xml:space="preserve"> بیشتری تنقیح مناط را نقد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کنند از </w:t>
      </w:r>
      <w:r w:rsidR="001367F5" w:rsidRPr="00506C8E">
        <w:rPr>
          <w:rtl/>
        </w:rPr>
        <w:t>س</w:t>
      </w:r>
      <w:r w:rsidR="001367F5" w:rsidRPr="00506C8E">
        <w:rPr>
          <w:rFonts w:hint="cs"/>
          <w:rtl/>
        </w:rPr>
        <w:t>ی</w:t>
      </w:r>
      <w:r w:rsidR="001367F5" w:rsidRPr="00506C8E">
        <w:rPr>
          <w:rFonts w:hint="eastAsia"/>
          <w:rtl/>
        </w:rPr>
        <w:t>د</w:t>
      </w:r>
      <w:r w:rsidR="001367F5" w:rsidRPr="00506C8E">
        <w:rPr>
          <w:rtl/>
        </w:rPr>
        <w:t xml:space="preserve"> </w:t>
      </w:r>
      <w:r w:rsidR="00603C19">
        <w:rPr>
          <w:rtl/>
        </w:rPr>
        <w:t>نعمت‌الله</w:t>
      </w:r>
      <w:r w:rsidRPr="00506C8E">
        <w:rPr>
          <w:rFonts w:hint="cs"/>
          <w:rtl/>
        </w:rPr>
        <w:t xml:space="preserve"> جزایری تا مرحوم استرآبادی به گمانم حتی صاحب وسائل، کلامی از صاحب وسائل هم وجود دارد.</w:t>
      </w:r>
    </w:p>
    <w:p w:rsidR="007E1A20" w:rsidRPr="00506C8E" w:rsidRDefault="007E1A20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مرحوم صاحب وسائل یا فیض کاشانی، </w:t>
      </w:r>
      <w:r w:rsidR="00506C8E">
        <w:rPr>
          <w:rFonts w:hint="cs"/>
          <w:rtl/>
        </w:rPr>
        <w:t>این‌ها</w:t>
      </w:r>
      <w:r w:rsidRPr="00506C8E">
        <w:rPr>
          <w:rFonts w:hint="cs"/>
          <w:rtl/>
        </w:rPr>
        <w:t xml:space="preserve"> </w:t>
      </w:r>
      <w:r w:rsidR="00603C19">
        <w:rPr>
          <w:rFonts w:hint="cs"/>
          <w:rtl/>
        </w:rPr>
        <w:t>اخباری‌های</w:t>
      </w:r>
      <w:r w:rsidRPr="00506C8E">
        <w:rPr>
          <w:rFonts w:hint="cs"/>
          <w:rtl/>
        </w:rPr>
        <w:t xml:space="preserve"> در مرز اصولی و اخباری هستند اخباری استدلالی هستند و حتی صاحب حدائق هم در بالاتر دارای نوعی اعتدال است و انصاف دارد در مباحث. حتی این گروه معتدل اخباری در بحث تنقیح مناط اشکال دارند و به آن اعتماد ندارند.</w:t>
      </w:r>
    </w:p>
    <w:p w:rsidR="00550D27" w:rsidRPr="00506C8E" w:rsidRDefault="007E1A20" w:rsidP="00AF1ABE">
      <w:pPr>
        <w:autoSpaceDE w:val="0"/>
        <w:autoSpaceDN w:val="0"/>
        <w:adjustRightInd w:val="0"/>
        <w:spacing w:line="276" w:lineRule="auto"/>
        <w:ind w:firstLine="429"/>
        <w:rPr>
          <w:rtl/>
        </w:rPr>
      </w:pPr>
      <w:r w:rsidRPr="00506C8E">
        <w:rPr>
          <w:rFonts w:hint="cs"/>
          <w:rtl/>
        </w:rPr>
        <w:t xml:space="preserve">حالا در بین اصولیین هم کسی باشد که تنقیح مناط را رأساً قبول نداشته باشد </w:t>
      </w:r>
      <w:r w:rsidR="001367F5" w:rsidRPr="00506C8E">
        <w:rPr>
          <w:rFonts w:hint="cs"/>
          <w:rtl/>
        </w:rPr>
        <w:t>الآن</w:t>
      </w:r>
      <w:r w:rsidRPr="00506C8E">
        <w:rPr>
          <w:rFonts w:hint="cs"/>
          <w:rtl/>
        </w:rPr>
        <w:t xml:space="preserve"> به ذهنم نیست و اینجا هم چیزی نقل نشده است در بین اصولیین در مصداق و تطبیق طیف وجود دارد به لحاظ تطبیق تنقیح مناط طیف وجود دارد از نظر کبروی و قاعده کلی قاطبه و عمده اصولیین به تنقیح مناط اعتماد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کنند و آن را حجت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شمارند اما در مقام تطبیق و بحث صغروی تفاوت دارند بعضی دست تنقیح مناطشان </w:t>
      </w:r>
      <w:r w:rsidR="001367F5" w:rsidRPr="00506C8E">
        <w:rPr>
          <w:rtl/>
        </w:rPr>
        <w:t>بازتر</w:t>
      </w:r>
      <w:r w:rsidRPr="00506C8E">
        <w:rPr>
          <w:rFonts w:hint="cs"/>
          <w:rtl/>
        </w:rPr>
        <w:t xml:space="preserve"> است و </w:t>
      </w:r>
      <w:r w:rsidR="00603C19">
        <w:rPr>
          <w:rtl/>
        </w:rPr>
        <w:t>فقهشان</w:t>
      </w:r>
      <w:r w:rsidRPr="00506C8E">
        <w:rPr>
          <w:rFonts w:hint="cs"/>
          <w:rtl/>
        </w:rPr>
        <w:t xml:space="preserve"> حالت پویاتری دارد به این معنای متعارف، بعضی به این سادگی تنقیح مناط را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پذیرند.</w:t>
      </w:r>
    </w:p>
    <w:p w:rsidR="007E1A20" w:rsidRPr="00506C8E" w:rsidRDefault="007E1A20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این از این منظر که تنقیح مناط تفاوت کلی بین اخباری و اصولی دارد.</w:t>
      </w:r>
    </w:p>
    <w:p w:rsidR="007E1A20" w:rsidRPr="00506C8E" w:rsidRDefault="00603C19" w:rsidP="00AF1ABE">
      <w:pPr>
        <w:autoSpaceDE w:val="0"/>
        <w:autoSpaceDN w:val="0"/>
        <w:adjustRightInd w:val="0"/>
        <w:spacing w:line="276" w:lineRule="auto"/>
        <w:rPr>
          <w:rtl/>
        </w:rPr>
      </w:pPr>
      <w:r>
        <w:rPr>
          <w:rFonts w:hint="cs"/>
          <w:rtl/>
        </w:rPr>
        <w:lastRenderedPageBreak/>
        <w:t>اصولی‌ها</w:t>
      </w:r>
      <w:r w:rsidR="007E1A20" w:rsidRPr="00506C8E">
        <w:rPr>
          <w:rFonts w:hint="cs"/>
          <w:rtl/>
        </w:rPr>
        <w:t xml:space="preserve"> در مقام تطبیق ممکن است تفاوت داشته باشند اما در مقام کبروی </w:t>
      </w:r>
      <w:r>
        <w:rPr>
          <w:rFonts w:hint="cs"/>
          <w:rtl/>
        </w:rPr>
        <w:t>علی‌الاصول</w:t>
      </w:r>
      <w:r w:rsidR="007E1A20" w:rsidRPr="00506C8E">
        <w:rPr>
          <w:rFonts w:hint="cs"/>
          <w:rtl/>
        </w:rPr>
        <w:t xml:space="preserve"> تنقیح مناط را قبول دارند بله بین اصولیین یک اختلاف دیگری </w:t>
      </w:r>
      <w:r w:rsidR="007333F7" w:rsidRPr="00506C8E">
        <w:rPr>
          <w:rFonts w:hint="cs"/>
          <w:rtl/>
        </w:rPr>
        <w:t>قابل تصور است</w:t>
      </w:r>
      <w:r w:rsidR="00807EE0" w:rsidRPr="00506C8E">
        <w:rPr>
          <w:rtl/>
        </w:rPr>
        <w:t>؛ و</w:t>
      </w:r>
      <w:r w:rsidR="007333F7" w:rsidRPr="00506C8E">
        <w:rPr>
          <w:rFonts w:hint="cs"/>
          <w:rtl/>
        </w:rPr>
        <w:t xml:space="preserve"> آن اختلاف این است که بگوییم که دو قول وجود دارد از لحاظ کبروی.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 xml:space="preserve">یک قول این است که تنقیح مناط حجةٌ </w:t>
      </w:r>
      <w:r w:rsidR="001367F5" w:rsidRPr="00506C8E">
        <w:rPr>
          <w:rFonts w:hint="cs"/>
          <w:rtl/>
        </w:rPr>
        <w:t>مطلقاً</w:t>
      </w:r>
      <w:r w:rsidRPr="00506C8E">
        <w:rPr>
          <w:rFonts w:hint="cs"/>
          <w:rtl/>
        </w:rPr>
        <w:t xml:space="preserve"> سواء کان قطعیاً أو اطمئنانیاً یک قول یا لااقل احتمال دیگر این است که دیگر کسی بگوید تنقیح مناط در موارد قطع حجت است اما اگر مولد اطمینان باشد و همراه اطمینان باشد ممکن است بگوییم حجت نیست. شاید قول هم داشته باشد.</w:t>
      </w:r>
    </w:p>
    <w:p w:rsidR="00AF1ABE" w:rsidRPr="00506C8E" w:rsidRDefault="00AF1ABE" w:rsidP="00AF1ABE">
      <w:pPr>
        <w:pStyle w:val="Heading1"/>
        <w:jc w:val="both"/>
        <w:rPr>
          <w:rtl/>
        </w:rPr>
      </w:pPr>
      <w:bookmarkStart w:id="15" w:name="_Toc52821002"/>
      <w:r w:rsidRPr="00506C8E">
        <w:rPr>
          <w:rFonts w:hint="cs"/>
          <w:rtl/>
        </w:rPr>
        <w:t>اقوال در مقوله تنقیح مناط</w:t>
      </w:r>
      <w:bookmarkEnd w:id="15"/>
    </w:p>
    <w:p w:rsidR="007333F7" w:rsidRPr="00506C8E" w:rsidRDefault="00603C19" w:rsidP="00AF1ABE">
      <w:pPr>
        <w:autoSpaceDE w:val="0"/>
        <w:autoSpaceDN w:val="0"/>
        <w:adjustRightInd w:val="0"/>
        <w:spacing w:line="276" w:lineRule="auto"/>
        <w:rPr>
          <w:rtl/>
        </w:rPr>
      </w:pPr>
      <w:r>
        <w:rPr>
          <w:rtl/>
        </w:rPr>
        <w:t>ازا</w:t>
      </w:r>
      <w:r>
        <w:rPr>
          <w:rFonts w:hint="cs"/>
          <w:rtl/>
        </w:rPr>
        <w:t>ی</w:t>
      </w:r>
      <w:r>
        <w:rPr>
          <w:rFonts w:hint="eastAsia"/>
          <w:rtl/>
        </w:rPr>
        <w:t>ن‌رو</w:t>
      </w:r>
      <w:r w:rsidR="007333F7" w:rsidRPr="00506C8E">
        <w:rPr>
          <w:rFonts w:hint="cs"/>
          <w:rtl/>
        </w:rPr>
        <w:t xml:space="preserve"> است که ما</w:t>
      </w:r>
      <w:r w:rsidR="00506C8E">
        <w:rPr>
          <w:rFonts w:hint="cs"/>
          <w:rtl/>
        </w:rPr>
        <w:t xml:space="preserve"> می‌</w:t>
      </w:r>
      <w:r w:rsidR="007333F7" w:rsidRPr="00506C8E">
        <w:rPr>
          <w:rFonts w:hint="cs"/>
          <w:rtl/>
        </w:rPr>
        <w:t>توانیم با توجه به مجموعه مباحثی که عرض کردیم در تنقیح مناط بگوییم که</w:t>
      </w:r>
      <w:r w:rsidR="00AF1ABE" w:rsidRPr="00506C8E">
        <w:rPr>
          <w:rFonts w:hint="cs"/>
          <w:rtl/>
        </w:rPr>
        <w:t xml:space="preserve"> از منظر کبروی چند قول است.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قول اول حجیت علی النحو الاطلاق کما هو ظاهر من جمع کثیر من الاصولیین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 xml:space="preserve">قول دوم عدم حجیت علی النحو الاطلاق است کما هو ظاهر من جمع کثیر من الاخباریین حتی </w:t>
      </w:r>
      <w:r w:rsidR="00603C19">
        <w:rPr>
          <w:rFonts w:hint="cs"/>
          <w:rtl/>
        </w:rPr>
        <w:t>اخباری‌های</w:t>
      </w:r>
      <w:r w:rsidRPr="00506C8E">
        <w:rPr>
          <w:rFonts w:hint="cs"/>
          <w:rtl/>
        </w:rPr>
        <w:t xml:space="preserve"> معتدل</w:t>
      </w:r>
    </w:p>
    <w:p w:rsidR="007333F7" w:rsidRPr="00506C8E" w:rsidRDefault="001367F5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احیاناً</w:t>
      </w:r>
      <w:r w:rsidR="007333F7" w:rsidRPr="00506C8E">
        <w:rPr>
          <w:rFonts w:hint="cs"/>
          <w:rtl/>
        </w:rPr>
        <w:t xml:space="preserve"> قول ثالث که تفصیل است اگر تنقیح مناط علی وجه القطع و علی نحو قطع و الیقین شد معتبر است ولی اگر علی وجه الاطمینان بود اعتبار ندارد. این هم قول یا احتمالی است که</w:t>
      </w:r>
      <w:r w:rsidR="00506C8E">
        <w:rPr>
          <w:rFonts w:hint="cs"/>
          <w:rtl/>
        </w:rPr>
        <w:t xml:space="preserve"> می‌</w:t>
      </w:r>
      <w:r w:rsidR="007333F7" w:rsidRPr="00506C8E">
        <w:rPr>
          <w:rFonts w:hint="cs"/>
          <w:rtl/>
        </w:rPr>
        <w:t xml:space="preserve">شود این جا مطرح کرد </w:t>
      </w:r>
      <w:r w:rsidR="002D702A" w:rsidRPr="00506C8E">
        <w:rPr>
          <w:rtl/>
        </w:rPr>
        <w:t>لااقل</w:t>
      </w:r>
      <w:r w:rsidR="007333F7" w:rsidRPr="00506C8E">
        <w:rPr>
          <w:rFonts w:hint="cs"/>
          <w:rtl/>
        </w:rPr>
        <w:t xml:space="preserve"> این قول به تفصیل مصور است.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این هم از اقو</w:t>
      </w:r>
      <w:r w:rsidR="002D702A" w:rsidRPr="00506C8E">
        <w:rPr>
          <w:rFonts w:hint="cs"/>
          <w:rtl/>
        </w:rPr>
        <w:t>ا</w:t>
      </w:r>
      <w:r w:rsidRPr="00506C8E">
        <w:rPr>
          <w:rFonts w:hint="cs"/>
          <w:rtl/>
        </w:rPr>
        <w:t>ل و رویکردهایی که در مقوله تنقیح مناط وجود دارد.</w:t>
      </w:r>
    </w:p>
    <w:p w:rsidR="00AF1ABE" w:rsidRPr="00506C8E" w:rsidRDefault="00AF1ABE" w:rsidP="00AF1ABE">
      <w:pPr>
        <w:pStyle w:val="Heading1"/>
        <w:jc w:val="both"/>
        <w:rPr>
          <w:rtl/>
        </w:rPr>
      </w:pPr>
      <w:bookmarkStart w:id="16" w:name="_Toc52821003"/>
      <w:r w:rsidRPr="00506C8E">
        <w:rPr>
          <w:rFonts w:hint="cs"/>
          <w:rtl/>
        </w:rPr>
        <w:t>وجوه استدلال قائلین به عدم حجیت تنقیح مناط</w:t>
      </w:r>
      <w:bookmarkEnd w:id="16"/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قائلان به قول دوم یا قول سوم یعنی کسانی که حجیت مطلق را در تنقیح مناط قبول ندارند بلکه به خاطر وجهی تنقیح مناط را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کنند </w:t>
      </w:r>
      <w:r w:rsidR="002D702A" w:rsidRPr="00506C8E">
        <w:rPr>
          <w:rFonts w:hint="cs"/>
          <w:rtl/>
        </w:rPr>
        <w:t>طبعاً</w:t>
      </w:r>
      <w:r w:rsidRPr="00506C8E">
        <w:rPr>
          <w:rFonts w:hint="cs"/>
          <w:rtl/>
        </w:rPr>
        <w:t xml:space="preserve"> بعضی از این وجوه </w:t>
      </w:r>
      <w:r w:rsidR="002D702A" w:rsidRPr="00506C8E">
        <w:rPr>
          <w:rtl/>
        </w:rPr>
        <w:t>کلاً</w:t>
      </w:r>
      <w:r w:rsidRPr="00506C8E">
        <w:rPr>
          <w:rFonts w:hint="cs"/>
          <w:rtl/>
        </w:rPr>
        <w:t xml:space="preserve">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کند بعضی هم به شکلی تفصیلی آن را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کند.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اولین وجه –طبق آنچه در کتاب آمده است و آنکه نیامده است بعد خواهیم گفت- که ذکر شده است استناد به روایتی است که آن روایت مضمونی را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که در آیه قرآن هم آمده است.</w:t>
      </w:r>
    </w:p>
    <w:p w:rsidR="007333F7" w:rsidRPr="00506C8E" w:rsidRDefault="007333F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 xml:space="preserve">این روایت که مورد استدلال قرار گرفته است در کلمات مرحوم </w:t>
      </w:r>
      <w:r w:rsidR="00603C19">
        <w:rPr>
          <w:rFonts w:hint="cs"/>
          <w:rtl/>
        </w:rPr>
        <w:t>نعمت‌الله</w:t>
      </w:r>
      <w:r w:rsidRPr="00506C8E">
        <w:rPr>
          <w:rFonts w:hint="cs"/>
          <w:rtl/>
        </w:rPr>
        <w:t xml:space="preserve"> جزایری این است که گفته شده این روایت که در باب قیاس وارد شده مطلبی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گوید که تنقیح مناط را هم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کند</w:t>
      </w:r>
    </w:p>
    <w:p w:rsidR="007333F7" w:rsidRPr="00506C8E" w:rsidRDefault="007333F7" w:rsidP="00506C8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 xml:space="preserve">این روایت این </w:t>
      </w:r>
      <w:r w:rsidR="001367F5" w:rsidRPr="00506C8E">
        <w:rPr>
          <w:rFonts w:hint="cs"/>
          <w:rtl/>
        </w:rPr>
        <w:t>است که</w:t>
      </w:r>
      <w:r w:rsidRPr="00506C8E">
        <w:rPr>
          <w:rFonts w:hint="cs"/>
          <w:rtl/>
        </w:rPr>
        <w:t xml:space="preserve"> در کافی نقل شده است </w:t>
      </w:r>
      <w:r w:rsidR="00121097" w:rsidRPr="00506C8E">
        <w:rPr>
          <w:rFonts w:hint="cs"/>
          <w:rtl/>
        </w:rPr>
        <w:t>عِدَّةٌ مِنْ أَصْحَابِنَا عَنْ أَحْمَدَ بْنِ مُحَمَّدٍ عَنْ عُثْمَانَ بْنِ عِيسَى، - این از سندهای کوتاه است که با سه واسطه به امام موسی بن جعفر علیه السلام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 xml:space="preserve">رسد. سند درست است عثمان بن عیسی از لحاظ </w:t>
      </w:r>
      <w:r w:rsidR="00121097" w:rsidRPr="00506C8E">
        <w:rPr>
          <w:rFonts w:hint="cs"/>
          <w:rtl/>
        </w:rPr>
        <w:lastRenderedPageBreak/>
        <w:t>اعتقادی محل بحث هست ولی توثیق دارد- قَالَ:</w:t>
      </w:r>
      <w:r w:rsidR="00506C8E">
        <w:rPr>
          <w:rFonts w:hint="cs"/>
          <w:rtl/>
        </w:rPr>
        <w:t xml:space="preserve"> «</w:t>
      </w:r>
      <w:r w:rsidR="00121097" w:rsidRPr="00506C8E">
        <w:rPr>
          <w:rFonts w:hint="cs"/>
          <w:color w:val="008000"/>
          <w:rtl/>
        </w:rPr>
        <w:t>سَأَلْتُ أَبَا الْحَسَنِ مُوسَى علیه السلام عَنِ الْقِيَاسِ فَقَالَ مَا لَكُمْ وَ الْقِيَاسَ</w:t>
      </w:r>
      <w:r w:rsidR="00506C8E">
        <w:rPr>
          <w:rFonts w:hint="cs"/>
          <w:rtl/>
        </w:rPr>
        <w:t xml:space="preserve">» </w:t>
      </w:r>
      <w:r w:rsidR="00121097" w:rsidRPr="00506C8E">
        <w:rPr>
          <w:rFonts w:hint="cs"/>
          <w:rtl/>
        </w:rPr>
        <w:t xml:space="preserve">شما چه نیازی به قیاس دارید چرا </w:t>
      </w:r>
      <w:r w:rsidR="001367F5" w:rsidRPr="00506C8E">
        <w:rPr>
          <w:rFonts w:hint="cs"/>
          <w:rtl/>
        </w:rPr>
        <w:t>اصلاً</w:t>
      </w:r>
      <w:r w:rsidR="00121097" w:rsidRPr="00506C8E">
        <w:rPr>
          <w:rFonts w:hint="cs"/>
          <w:rtl/>
        </w:rPr>
        <w:t xml:space="preserve"> نامی از قیاس به میان</w:t>
      </w:r>
      <w:r w:rsidR="00506C8E">
        <w:rPr>
          <w:rFonts w:hint="cs"/>
          <w:rtl/>
        </w:rPr>
        <w:t xml:space="preserve"> می‌</w:t>
      </w:r>
      <w:r w:rsidR="002D702A" w:rsidRPr="00506C8E">
        <w:rPr>
          <w:rFonts w:hint="cs"/>
          <w:rtl/>
        </w:rPr>
        <w:t>آورید</w:t>
      </w:r>
      <w:r w:rsidR="00121097" w:rsidRPr="00506C8E">
        <w:rPr>
          <w:rFonts w:hint="cs"/>
          <w:rtl/>
        </w:rPr>
        <w:t>. قیاس همان عطف چیزی به حکم در یک موردی به مورد دیگر صرف مشابهت است. این قیاس است. شما را چه کار به قیاس، بعد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 xml:space="preserve">فرماید: </w:t>
      </w:r>
      <w:r w:rsidR="00506C8E">
        <w:rPr>
          <w:rFonts w:hint="cs"/>
          <w:rtl/>
        </w:rPr>
        <w:t>«</w:t>
      </w:r>
      <w:r w:rsidR="00121097" w:rsidRPr="00506C8E">
        <w:rPr>
          <w:rFonts w:hint="cs"/>
          <w:color w:val="008000"/>
          <w:rtl/>
        </w:rPr>
        <w:t>إِنَّ اللَّهَ لَا يُسْأَلُ كَيْفَ أَحَلَّ وَ كَيْفَ حَرَّمَ</w:t>
      </w:r>
      <w:r w:rsidR="00506C8E">
        <w:rPr>
          <w:rFonts w:hint="cs"/>
          <w:rtl/>
        </w:rPr>
        <w:t>»</w:t>
      </w:r>
      <w:r w:rsidR="00610B29" w:rsidRPr="00506C8E">
        <w:rPr>
          <w:rStyle w:val="FootnoteReference"/>
          <w:rFonts w:hint="cs"/>
          <w:rtl/>
        </w:rPr>
        <w:footnoteReference w:id="1"/>
      </w:r>
      <w:r w:rsidR="00121097" w:rsidRPr="00506C8E">
        <w:rPr>
          <w:rFonts w:hint="cs"/>
          <w:rtl/>
        </w:rPr>
        <w:t>. اینکه تنقیح مناط قیاس است یا نیست بعد بحث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>کنیم.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 xml:space="preserve">گوییم اینجا یک تعلیلی آمده است که </w:t>
      </w:r>
      <w:bookmarkStart w:id="17" w:name="OLE_LINK1"/>
      <w:bookmarkStart w:id="18" w:name="OLE_LINK2"/>
      <w:r w:rsidR="00121097" w:rsidRPr="00506C8E">
        <w:rPr>
          <w:rFonts w:hint="cs"/>
          <w:rtl/>
        </w:rPr>
        <w:t xml:space="preserve">إِنَّ اللَّهَ لَا يُسْأَلُ كَيْفَ أَحَلَّ وَ كَيْفَ حَرَّمَ </w:t>
      </w:r>
      <w:bookmarkEnd w:id="17"/>
      <w:bookmarkEnd w:id="18"/>
      <w:r w:rsidR="00121097" w:rsidRPr="00506C8E">
        <w:rPr>
          <w:rFonts w:hint="cs"/>
          <w:rtl/>
        </w:rPr>
        <w:t xml:space="preserve">شایسته نیست و حق ندارید </w:t>
      </w:r>
      <w:r w:rsidR="002D702A" w:rsidRPr="00506C8E">
        <w:rPr>
          <w:rFonts w:hint="cs"/>
          <w:rtl/>
        </w:rPr>
        <w:t>سؤال</w:t>
      </w:r>
      <w:r w:rsidR="00121097" w:rsidRPr="00506C8E">
        <w:rPr>
          <w:rFonts w:hint="cs"/>
          <w:rtl/>
        </w:rPr>
        <w:t xml:space="preserve"> بکنید که چرا این را حلال کرد و چرا حرام کرد شما حق </w:t>
      </w:r>
      <w:r w:rsidR="002D702A" w:rsidRPr="00506C8E">
        <w:rPr>
          <w:rFonts w:hint="cs"/>
          <w:rtl/>
        </w:rPr>
        <w:t>سؤال</w:t>
      </w:r>
      <w:r w:rsidR="00121097" w:rsidRPr="00506C8E">
        <w:rPr>
          <w:rFonts w:hint="cs"/>
          <w:rtl/>
        </w:rPr>
        <w:t xml:space="preserve"> ندارید، قیاس را کنار بگذارید در تنقیح مناط شما </w:t>
      </w:r>
      <w:r w:rsidR="002D702A" w:rsidRPr="00506C8E">
        <w:rPr>
          <w:rFonts w:hint="cs"/>
          <w:rtl/>
        </w:rPr>
        <w:t>سؤال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>کنید و به جواب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>خواهید برسید در واقع اینکه</w:t>
      </w:r>
      <w:r w:rsidR="00506C8E">
        <w:rPr>
          <w:rFonts w:hint="cs"/>
          <w:rtl/>
        </w:rPr>
        <w:t xml:space="preserve"> می‌</w:t>
      </w:r>
      <w:r w:rsidR="00121097" w:rsidRPr="00506C8E">
        <w:rPr>
          <w:rFonts w:hint="cs"/>
          <w:rtl/>
        </w:rPr>
        <w:t xml:space="preserve">گوید حق </w:t>
      </w:r>
      <w:r w:rsidR="002D702A" w:rsidRPr="00506C8E">
        <w:rPr>
          <w:rFonts w:hint="cs"/>
          <w:rtl/>
        </w:rPr>
        <w:t>سؤال</w:t>
      </w:r>
      <w:r w:rsidR="00121097" w:rsidRPr="00506C8E">
        <w:rPr>
          <w:rFonts w:hint="cs"/>
          <w:rtl/>
        </w:rPr>
        <w:t xml:space="preserve"> ندارید یعنی در این وادی نروید و رفتید اعتباری ندارد.</w:t>
      </w:r>
    </w:p>
    <w:p w:rsidR="00121097" w:rsidRPr="00506C8E" w:rsidRDefault="00121097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 xml:space="preserve">این نکته جالب است که ذیل این روایت ایشان حتی تعلیل را هم زیر </w:t>
      </w:r>
      <w:r w:rsidR="002D702A" w:rsidRPr="00506C8E">
        <w:rPr>
          <w:rFonts w:hint="cs"/>
          <w:rtl/>
        </w:rPr>
        <w:t>سؤال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برد </w:t>
      </w:r>
      <w:r w:rsidR="00603C19">
        <w:rPr>
          <w:rFonts w:hint="cs"/>
          <w:rtl/>
        </w:rPr>
        <w:t>درحالی‌که</w:t>
      </w:r>
      <w:r w:rsidRPr="00506C8E">
        <w:rPr>
          <w:rFonts w:hint="cs"/>
          <w:rtl/>
        </w:rPr>
        <w:t xml:space="preserve"> خود ایشان اینجا به تعلیل که ادات تعلیل هم ندارد تمسک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کند که امام برای نفی قیاس علتی </w:t>
      </w:r>
      <w:r w:rsidR="00603C19">
        <w:rPr>
          <w:rFonts w:hint="cs"/>
          <w:rtl/>
        </w:rPr>
        <w:t>گفته‌اند</w:t>
      </w:r>
      <w:r w:rsidRPr="00506C8E">
        <w:rPr>
          <w:rFonts w:hint="cs"/>
          <w:rtl/>
        </w:rPr>
        <w:t xml:space="preserve"> که آن علت تنقیح مناط را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کند حتی تعلیل را هم نفی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کند این از وجودش عدمش لازم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آید و حالت پارادوکسیکال در خود این استدلال مرحوم جزایری هست.</w:t>
      </w:r>
    </w:p>
    <w:p w:rsidR="00610B29" w:rsidRPr="00506C8E" w:rsidRDefault="00610B29" w:rsidP="00AF1ABE">
      <w:pPr>
        <w:autoSpaceDE w:val="0"/>
        <w:autoSpaceDN w:val="0"/>
        <w:adjustRightInd w:val="0"/>
        <w:spacing w:line="276" w:lineRule="auto"/>
        <w:rPr>
          <w:rtl/>
        </w:rPr>
      </w:pPr>
      <w:r w:rsidRPr="00506C8E">
        <w:rPr>
          <w:rFonts w:hint="cs"/>
          <w:rtl/>
        </w:rPr>
        <w:t>آقای جزایری! شما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گویید حتی ممکن بل قد یقال، به صورت احتمال گفته است حتی ممکن است بگوییم به خاطر این روایت حتی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شود به تعلیل هم اعتماد کرد.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گوییم در این روایت شما به تعلیلش اعتماد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کنید. ممکن است </w:t>
      </w:r>
      <w:r w:rsidR="00603C19">
        <w:rPr>
          <w:rFonts w:hint="cs"/>
          <w:rtl/>
        </w:rPr>
        <w:t>این‌جور</w:t>
      </w:r>
      <w:r w:rsidRPr="00506C8E">
        <w:rPr>
          <w:rFonts w:hint="cs"/>
          <w:rtl/>
        </w:rPr>
        <w:t xml:space="preserve"> اشکالی به ایشان بشود</w:t>
      </w:r>
    </w:p>
    <w:p w:rsidR="00610B29" w:rsidRPr="00506C8E" w:rsidRDefault="00610B29" w:rsidP="00506C8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 w:rsidRPr="00506C8E">
        <w:rPr>
          <w:rFonts w:hint="cs"/>
          <w:rtl/>
        </w:rPr>
        <w:t>با این تعلیل حکم را از قیاس به تنقیح مناط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آورد بلکه حکم را از قیاس به تعلیل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آورد </w:t>
      </w:r>
      <w:r w:rsidR="00603C19">
        <w:rPr>
          <w:rFonts w:hint="cs"/>
          <w:rtl/>
        </w:rPr>
        <w:t>درحالی‌که</w:t>
      </w:r>
      <w:r w:rsidRPr="00506C8E">
        <w:rPr>
          <w:rFonts w:hint="cs"/>
          <w:rtl/>
        </w:rPr>
        <w:t xml:space="preserve"> تعلیل و قیاس تفاوت دارد این استدلالی است که به این مسئله شده است و البته این فرازی که </w:t>
      </w:r>
      <w:r w:rsidR="00506C8E">
        <w:rPr>
          <w:rFonts w:hint="cs"/>
          <w:rtl/>
        </w:rPr>
        <w:t>«</w:t>
      </w:r>
      <w:r w:rsidR="00506C8E" w:rsidRPr="00506C8E">
        <w:rPr>
          <w:rFonts w:hint="cs"/>
          <w:color w:val="008000"/>
          <w:rtl/>
        </w:rPr>
        <w:t>إِنَّ اللَّهَ لَا يُسْأَلُ كَيْفَ أَحَلَّ وَ كَيْفَ حَرَّمَ</w:t>
      </w:r>
      <w:r w:rsidR="00506C8E">
        <w:rPr>
          <w:rFonts w:hint="cs"/>
          <w:rtl/>
        </w:rPr>
        <w:t>»</w:t>
      </w:r>
      <w:r w:rsidRPr="00506C8E">
        <w:rPr>
          <w:rFonts w:hint="cs"/>
          <w:rtl/>
        </w:rPr>
        <w:t xml:space="preserve"> این ریشه قرآنی دارد آیه 23 سوره انبیاء </w:t>
      </w:r>
      <w:r w:rsidR="00506C8E">
        <w:rPr>
          <w:b/>
          <w:bCs/>
          <w:color w:val="007200"/>
          <w:rtl/>
        </w:rPr>
        <w:t xml:space="preserve">﴿لاٰ يُسْئَلُ عَمّٰا يَفْعَلُ وَ هُمْ يُسْئَلُونَ﴾ </w:t>
      </w:r>
      <w:r w:rsidRPr="00506C8E">
        <w:rPr>
          <w:rFonts w:hint="cs"/>
          <w:rtl/>
        </w:rPr>
        <w:t xml:space="preserve">خدا </w:t>
      </w:r>
      <w:r w:rsidR="002D702A" w:rsidRPr="00506C8E">
        <w:rPr>
          <w:rFonts w:hint="cs"/>
          <w:rtl/>
        </w:rPr>
        <w:t>سؤال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شود مسئول نیست </w:t>
      </w:r>
      <w:r w:rsidR="00603C19">
        <w:rPr>
          <w:rFonts w:hint="cs"/>
          <w:rtl/>
        </w:rPr>
        <w:t>درحالی‌که</w:t>
      </w:r>
      <w:r w:rsidRPr="00506C8E">
        <w:rPr>
          <w:rFonts w:hint="cs"/>
          <w:rtl/>
        </w:rPr>
        <w:t xml:space="preserve"> دیگران –حالا این دیگران بت</w:t>
      </w:r>
      <w:r w:rsidR="00603C19">
        <w:rPr>
          <w:rFonts w:hint="cs"/>
          <w:rtl/>
        </w:rPr>
        <w:t>‌</w:t>
      </w:r>
      <w:r w:rsidRPr="00506C8E">
        <w:rPr>
          <w:rFonts w:hint="cs"/>
          <w:rtl/>
        </w:rPr>
        <w:t xml:space="preserve">ها یا مردم یا همه- </w:t>
      </w:r>
      <w:r w:rsidR="00603C19">
        <w:rPr>
          <w:rFonts w:hint="cs"/>
          <w:rtl/>
        </w:rPr>
        <w:t>آن‌ها</w:t>
      </w:r>
      <w:r w:rsidRPr="00506C8E">
        <w:rPr>
          <w:rFonts w:hint="cs"/>
          <w:rtl/>
        </w:rPr>
        <w:t xml:space="preserve"> </w:t>
      </w:r>
      <w:r w:rsidR="002D702A" w:rsidRPr="00506C8E">
        <w:rPr>
          <w:rFonts w:hint="cs"/>
          <w:rtl/>
        </w:rPr>
        <w:t>مسئول‌اند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از </w:t>
      </w:r>
      <w:r w:rsidR="00603C19">
        <w:rPr>
          <w:rFonts w:hint="cs"/>
          <w:rtl/>
        </w:rPr>
        <w:t>آن‌ها</w:t>
      </w:r>
      <w:r w:rsidRPr="00506C8E">
        <w:rPr>
          <w:rFonts w:hint="cs"/>
          <w:rtl/>
        </w:rPr>
        <w:t xml:space="preserve">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کرد ولی در ساحت قرب الهی و پیشگاه الهی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شود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طرح کرد و ا</w:t>
      </w:r>
      <w:r w:rsidR="00616C1A" w:rsidRPr="00506C8E">
        <w:rPr>
          <w:rFonts w:hint="cs"/>
          <w:rtl/>
        </w:rPr>
        <w:t xml:space="preserve">و را مورد </w:t>
      </w:r>
      <w:r w:rsidR="002D702A" w:rsidRPr="00506C8E">
        <w:rPr>
          <w:rFonts w:hint="cs"/>
          <w:rtl/>
        </w:rPr>
        <w:t>سؤال</w:t>
      </w:r>
      <w:r w:rsidR="00616C1A" w:rsidRPr="00506C8E">
        <w:rPr>
          <w:rFonts w:hint="cs"/>
          <w:rtl/>
        </w:rPr>
        <w:t xml:space="preserve"> قرار داد.</w:t>
      </w:r>
    </w:p>
    <w:p w:rsidR="00616C1A" w:rsidRPr="00506C8E" w:rsidRDefault="00603C19" w:rsidP="00AF1AB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>
        <w:rPr>
          <w:rFonts w:hint="cs"/>
          <w:rtl/>
        </w:rPr>
        <w:t>نمی‌شود</w:t>
      </w:r>
      <w:r w:rsidR="00616C1A" w:rsidRPr="00506C8E">
        <w:rPr>
          <w:rFonts w:hint="cs"/>
          <w:rtl/>
        </w:rPr>
        <w:t xml:space="preserve"> گفت چرا؟ چرا را گفتیم رسیدیم به این تحلیل و مناط و مناط را مبنای حکمی قرار دادیم. این اولین اشکالی است که به حجیت تنقیح مناط وارد شده و در واقع روایت</w:t>
      </w:r>
      <w:r w:rsidR="00506C8E">
        <w:rPr>
          <w:rFonts w:hint="cs"/>
          <w:rtl/>
        </w:rPr>
        <w:t xml:space="preserve"> می‌</w:t>
      </w:r>
      <w:r w:rsidR="00616C1A" w:rsidRPr="00506C8E">
        <w:rPr>
          <w:rFonts w:hint="cs"/>
          <w:rtl/>
        </w:rPr>
        <w:t xml:space="preserve">گوید شما حق ندارید </w:t>
      </w:r>
      <w:r w:rsidR="002D702A" w:rsidRPr="00506C8E">
        <w:rPr>
          <w:rFonts w:hint="cs"/>
          <w:rtl/>
        </w:rPr>
        <w:t>سؤال</w:t>
      </w:r>
      <w:r w:rsidR="00616C1A" w:rsidRPr="00506C8E">
        <w:rPr>
          <w:rFonts w:hint="cs"/>
          <w:rtl/>
        </w:rPr>
        <w:t xml:space="preserve"> بکنید</w:t>
      </w:r>
      <w:r w:rsidR="00616C1A" w:rsidRPr="00506C8E">
        <w:t xml:space="preserve"> </w:t>
      </w:r>
      <w:r w:rsidR="00616C1A" w:rsidRPr="00506C8E">
        <w:rPr>
          <w:rFonts w:hint="cs"/>
          <w:rtl/>
        </w:rPr>
        <w:t xml:space="preserve">مثل </w:t>
      </w:r>
      <w:r w:rsidR="00506C8E">
        <w:rPr>
          <w:b/>
          <w:bCs/>
          <w:color w:val="007200"/>
          <w:rtl/>
        </w:rPr>
        <w:t xml:space="preserve">﴿لاٰ تَسْئَلُوا عَنْ أَشْيٰاءَ إِنْ تُبْدَ لَكُمْ </w:t>
      </w:r>
      <w:r w:rsidR="00506C8E">
        <w:rPr>
          <w:b/>
          <w:bCs/>
          <w:color w:val="007200"/>
          <w:rtl/>
        </w:rPr>
        <w:lastRenderedPageBreak/>
        <w:t>تَسُؤْكُمْ﴾</w:t>
      </w:r>
      <w:r w:rsidR="00616C1A" w:rsidRPr="00506C8E">
        <w:rPr>
          <w:rStyle w:val="FootnoteReference"/>
          <w:rtl/>
        </w:rPr>
        <w:footnoteReference w:id="2"/>
      </w:r>
      <w:r w:rsidR="00506C8E">
        <w:rPr>
          <w:rFonts w:eastAsia="Times New Roman"/>
          <w:color w:val="0000FF"/>
          <w:rtl/>
        </w:rPr>
        <w:t xml:space="preserve"> می‌</w:t>
      </w:r>
      <w:r w:rsidR="00616C1A" w:rsidRPr="00506C8E">
        <w:rPr>
          <w:rFonts w:hint="cs"/>
          <w:rtl/>
        </w:rPr>
        <w:t xml:space="preserve">گوید </w:t>
      </w:r>
      <w:r w:rsidR="002D702A" w:rsidRPr="00506C8E">
        <w:rPr>
          <w:rFonts w:hint="cs"/>
          <w:rtl/>
        </w:rPr>
        <w:t>سؤال</w:t>
      </w:r>
      <w:r w:rsidR="00616C1A" w:rsidRPr="00506C8E">
        <w:rPr>
          <w:rFonts w:hint="cs"/>
          <w:rtl/>
        </w:rPr>
        <w:t xml:space="preserve"> نکنید بر خلاف بعضی جاها که</w:t>
      </w:r>
      <w:r w:rsidR="00506C8E">
        <w:rPr>
          <w:rFonts w:hint="cs"/>
          <w:rtl/>
        </w:rPr>
        <w:t xml:space="preserve"> می‌</w:t>
      </w:r>
      <w:r w:rsidR="00616C1A" w:rsidRPr="00506C8E">
        <w:rPr>
          <w:rFonts w:hint="cs"/>
          <w:rtl/>
        </w:rPr>
        <w:t xml:space="preserve">گوید </w:t>
      </w:r>
      <w:r w:rsidR="00506C8E">
        <w:rPr>
          <w:b/>
          <w:bCs/>
          <w:color w:val="007200"/>
          <w:rtl/>
        </w:rPr>
        <w:t>﴿فَسْئَلُوا أَهْلَ اَلذِّكْرِ﴾</w:t>
      </w:r>
      <w:r w:rsidR="007A089A" w:rsidRPr="00506C8E">
        <w:rPr>
          <w:rStyle w:val="FootnoteReference"/>
          <w:rtl/>
        </w:rPr>
        <w:footnoteReference w:id="3"/>
      </w:r>
      <w:r w:rsidR="007A089A" w:rsidRPr="00506C8E">
        <w:rPr>
          <w:rFonts w:hint="cs"/>
          <w:rtl/>
        </w:rPr>
        <w:t xml:space="preserve"> ولی یک جاهایی</w:t>
      </w:r>
      <w:r w:rsidR="00506C8E">
        <w:rPr>
          <w:rFonts w:hint="cs"/>
          <w:rtl/>
        </w:rPr>
        <w:t xml:space="preserve"> می‌</w:t>
      </w:r>
      <w:r w:rsidR="007A089A" w:rsidRPr="00506C8E">
        <w:rPr>
          <w:rFonts w:hint="cs"/>
          <w:rtl/>
        </w:rPr>
        <w:t xml:space="preserve">گوید </w:t>
      </w:r>
      <w:r w:rsidR="002D702A" w:rsidRPr="00506C8E">
        <w:rPr>
          <w:rFonts w:hint="cs"/>
          <w:rtl/>
        </w:rPr>
        <w:t>سؤال</w:t>
      </w:r>
      <w:r w:rsidR="007A089A" w:rsidRPr="00506C8E">
        <w:rPr>
          <w:rFonts w:hint="cs"/>
          <w:rtl/>
        </w:rPr>
        <w:t xml:space="preserve"> نکنید. این </w:t>
      </w:r>
      <w:r w:rsidR="00506C8E" w:rsidRPr="00506C8E">
        <w:rPr>
          <w:b/>
          <w:bCs/>
          <w:color w:val="007200"/>
          <w:rtl/>
        </w:rPr>
        <w:t>﴿لاٰ يُسْئَلُ عَمّٰا يَفْعَلُ﴾</w:t>
      </w:r>
      <w:r w:rsidR="007A089A" w:rsidRPr="00506C8E">
        <w:rPr>
          <w:rFonts w:hint="cs"/>
          <w:rtl/>
        </w:rPr>
        <w:t xml:space="preserve"> مبنای همان چیزی است که در این روایت آمده است.</w:t>
      </w:r>
    </w:p>
    <w:p w:rsidR="007A089A" w:rsidRPr="00506C8E" w:rsidRDefault="007A089A" w:rsidP="00506C8E">
      <w:pPr>
        <w:autoSpaceDE w:val="0"/>
        <w:autoSpaceDN w:val="0"/>
        <w:adjustRightInd w:val="0"/>
        <w:spacing w:after="200" w:line="276" w:lineRule="auto"/>
        <w:ind w:firstLine="0"/>
        <w:rPr>
          <w:rtl/>
        </w:rPr>
      </w:pPr>
      <w:r w:rsidRPr="00506C8E">
        <w:rPr>
          <w:rFonts w:hint="cs"/>
          <w:rtl/>
        </w:rPr>
        <w:t>حالا این لاٰ</w:t>
      </w:r>
      <w:r w:rsidRPr="00506C8E">
        <w:rPr>
          <w:rFonts w:hint="cs"/>
        </w:rPr>
        <w:t xml:space="preserve"> </w:t>
      </w:r>
      <w:r w:rsidRPr="00506C8E">
        <w:rPr>
          <w:rFonts w:hint="cs"/>
          <w:rtl/>
        </w:rPr>
        <w:t>يُسْئَلُ</w:t>
      </w:r>
      <w:r w:rsidR="00807EE0" w:rsidRPr="00506C8E">
        <w:t xml:space="preserve"> </w:t>
      </w:r>
      <w:r w:rsidRPr="00506C8E">
        <w:rPr>
          <w:rFonts w:hint="cs"/>
          <w:rtl/>
        </w:rPr>
        <w:t>یا این است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گوییم جمله خبریه در مقام انشاء است </w:t>
      </w:r>
      <w:r w:rsidR="00506C8E" w:rsidRPr="00506C8E">
        <w:rPr>
          <w:b/>
          <w:bCs/>
          <w:color w:val="007200"/>
          <w:rtl/>
        </w:rPr>
        <w:t>﴿لاٰ يُسْئَلُ عَمّٰا يَفْعَلُ﴾</w:t>
      </w:r>
      <w:r w:rsidR="00506C8E">
        <w:t xml:space="preserve"> </w:t>
      </w:r>
      <w:r w:rsidRPr="00506C8E">
        <w:rPr>
          <w:rFonts w:hint="cs"/>
          <w:rtl/>
        </w:rPr>
        <w:t xml:space="preserve">یعنی </w:t>
      </w:r>
      <w:r w:rsidR="002D702A" w:rsidRPr="00506C8E">
        <w:rPr>
          <w:rFonts w:hint="cs"/>
          <w:rtl/>
        </w:rPr>
        <w:t>سؤال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شود مقصود این است که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نکنید یا اینکه جمله خبریه است که مستلزم یک حکم انشائی است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شود از خدا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کرد در واقع درست نیست از لحاظ تکوینی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، </w:t>
      </w:r>
      <w:r w:rsidR="002D702A" w:rsidRPr="00506C8E">
        <w:rPr>
          <w:rFonts w:hint="cs"/>
          <w:rtl/>
        </w:rPr>
        <w:t>طبعاً</w:t>
      </w:r>
      <w:r w:rsidRPr="00506C8E">
        <w:rPr>
          <w:rFonts w:hint="cs"/>
          <w:rtl/>
        </w:rPr>
        <w:t xml:space="preserve"> به لحاظ تشریعی هم درست نیست فرقی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>کند چه تکوینی بگیریم و چه تشریعی بگیریم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از آن عدم جواز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را به دست آورد این یک مقدمه اول و مقدمه دوم این است که عدم جواز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مستلزم این است که جوابی که شما به دست</w:t>
      </w:r>
      <w:r w:rsidR="00506C8E">
        <w:rPr>
          <w:rFonts w:hint="cs"/>
          <w:rtl/>
        </w:rPr>
        <w:t xml:space="preserve"> می‌</w:t>
      </w:r>
      <w:r w:rsidR="002D702A" w:rsidRPr="00506C8E">
        <w:rPr>
          <w:rFonts w:hint="cs"/>
          <w:rtl/>
        </w:rPr>
        <w:t>آورید</w:t>
      </w:r>
      <w:r w:rsidRPr="00506C8E">
        <w:rPr>
          <w:rFonts w:hint="cs"/>
          <w:rtl/>
        </w:rPr>
        <w:t xml:space="preserve"> یعنی قابل اعتماد نیست خود طرح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بکنی و پیش خودت به </w:t>
      </w:r>
      <w:r w:rsidR="00603C19">
        <w:rPr>
          <w:rFonts w:hint="cs"/>
          <w:rtl/>
        </w:rPr>
        <w:t>نتیجه‌ای</w:t>
      </w:r>
      <w:r w:rsidRPr="00506C8E">
        <w:rPr>
          <w:rFonts w:hint="cs"/>
          <w:rtl/>
        </w:rPr>
        <w:t xml:space="preserve"> برسی بعد بخواهی به آن نتیجه ترتیب اثر بدهی. عدم جواز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کنایه از این است که نتایجی که شما به آن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>رسی اعتبار ندارد</w:t>
      </w:r>
      <w:r w:rsidR="00807EE0" w:rsidRPr="00506C8E">
        <w:rPr>
          <w:rtl/>
        </w:rPr>
        <w:t xml:space="preserve">؛ </w:t>
      </w:r>
      <w:r w:rsidRPr="00506C8E">
        <w:rPr>
          <w:rFonts w:hint="cs"/>
          <w:rtl/>
        </w:rPr>
        <w:t>یعنی به نوعی نفی حجیت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کند. </w:t>
      </w:r>
      <w:r w:rsidR="00506C8E">
        <w:rPr>
          <w:rFonts w:hint="cs"/>
          <w:rtl/>
        </w:rPr>
        <w:t>این‌ها</w:t>
      </w:r>
      <w:r w:rsidRPr="00506C8E">
        <w:rPr>
          <w:rFonts w:hint="cs"/>
          <w:rtl/>
        </w:rPr>
        <w:t xml:space="preserve"> مقدماتی است که</w:t>
      </w:r>
      <w:r w:rsidR="00506C8E">
        <w:rPr>
          <w:rFonts w:hint="cs"/>
          <w:rtl/>
        </w:rPr>
        <w:t xml:space="preserve"> می‌</w:t>
      </w:r>
      <w:r w:rsidRPr="00506C8E">
        <w:rPr>
          <w:rFonts w:hint="cs"/>
          <w:rtl/>
        </w:rPr>
        <w:t xml:space="preserve">شود با </w:t>
      </w:r>
      <w:r w:rsidR="00506C8E">
        <w:rPr>
          <w:rFonts w:hint="cs"/>
          <w:rtl/>
        </w:rPr>
        <w:t>این‌ها</w:t>
      </w:r>
      <w:r w:rsidRPr="00506C8E">
        <w:rPr>
          <w:rFonts w:hint="cs"/>
          <w:rtl/>
        </w:rPr>
        <w:t xml:space="preserve"> استدلال کرد به اینکه</w:t>
      </w:r>
      <w:r w:rsidR="00506C8E">
        <w:rPr>
          <w:rFonts w:hint="cs"/>
          <w:rtl/>
        </w:rPr>
        <w:t xml:space="preserve"> نمی‌</w:t>
      </w:r>
      <w:r w:rsidRPr="00506C8E">
        <w:rPr>
          <w:rFonts w:hint="cs"/>
          <w:rtl/>
        </w:rPr>
        <w:t xml:space="preserve">شود رفت در متن و با این احکام این جور تعامل کرد و طرح </w:t>
      </w:r>
      <w:r w:rsidR="002D702A" w:rsidRPr="00506C8E">
        <w:rPr>
          <w:rFonts w:hint="cs"/>
          <w:rtl/>
        </w:rPr>
        <w:t>سؤال</w:t>
      </w:r>
      <w:r w:rsidRPr="00506C8E">
        <w:rPr>
          <w:rFonts w:hint="cs"/>
          <w:rtl/>
        </w:rPr>
        <w:t xml:space="preserve"> کرد بعد به یک مناط رسید و آن مناط را مبنا قرار داد.</w:t>
      </w:r>
    </w:p>
    <w:p w:rsidR="00616C1A" w:rsidRPr="00506C8E" w:rsidRDefault="00616C1A" w:rsidP="00AF1ABE">
      <w:pPr>
        <w:autoSpaceDE w:val="0"/>
        <w:autoSpaceDN w:val="0"/>
        <w:adjustRightInd w:val="0"/>
        <w:spacing w:after="200" w:line="276" w:lineRule="auto"/>
        <w:ind w:firstLine="0"/>
      </w:pPr>
    </w:p>
    <w:p w:rsidR="00610B29" w:rsidRPr="00506C8E" w:rsidRDefault="00610B29" w:rsidP="00AF1ABE">
      <w:pPr>
        <w:autoSpaceDE w:val="0"/>
        <w:autoSpaceDN w:val="0"/>
        <w:adjustRightInd w:val="0"/>
        <w:spacing w:line="276" w:lineRule="auto"/>
        <w:rPr>
          <w:rtl/>
        </w:rPr>
      </w:pPr>
    </w:p>
    <w:sectPr w:rsidR="00610B29" w:rsidRPr="00506C8E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13" w:rsidRDefault="00AC4A13" w:rsidP="000D5800">
      <w:pPr>
        <w:spacing w:after="0"/>
      </w:pPr>
      <w:r>
        <w:separator/>
      </w:r>
    </w:p>
  </w:endnote>
  <w:endnote w:type="continuationSeparator" w:id="0">
    <w:p w:rsidR="00AC4A13" w:rsidRDefault="00AC4A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66AD6" w:rsidRDefault="00766AD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C1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13" w:rsidRDefault="00AC4A13" w:rsidP="000D5800">
      <w:pPr>
        <w:spacing w:after="0"/>
      </w:pPr>
      <w:r>
        <w:separator/>
      </w:r>
    </w:p>
  </w:footnote>
  <w:footnote w:type="continuationSeparator" w:id="0">
    <w:p w:rsidR="00AC4A13" w:rsidRDefault="00AC4A13" w:rsidP="000D5800">
      <w:pPr>
        <w:spacing w:after="0"/>
      </w:pPr>
      <w:r>
        <w:continuationSeparator/>
      </w:r>
    </w:p>
  </w:footnote>
  <w:footnote w:id="1">
    <w:p w:rsidR="00610B29" w:rsidRPr="00610B29" w:rsidRDefault="00610B29" w:rsidP="00506C8E">
      <w:pPr>
        <w:pStyle w:val="FootnoteText"/>
        <w:rPr>
          <w:rFonts w:hint="cs"/>
          <w:sz w:val="22"/>
          <w:szCs w:val="22"/>
          <w:rtl/>
        </w:rPr>
      </w:pPr>
      <w:r w:rsidRPr="00610B29">
        <w:rPr>
          <w:rStyle w:val="FootnoteReference"/>
          <w:sz w:val="22"/>
          <w:szCs w:val="22"/>
          <w:vertAlign w:val="baseline"/>
        </w:rPr>
        <w:footnoteRef/>
      </w:r>
      <w:r w:rsidR="00506C8E">
        <w:rPr>
          <w:rFonts w:hint="cs"/>
          <w:sz w:val="22"/>
          <w:szCs w:val="22"/>
          <w:rtl/>
        </w:rPr>
        <w:t xml:space="preserve">- </w:t>
      </w:r>
      <w:r w:rsidRPr="00610B29">
        <w:rPr>
          <w:rFonts w:hint="cs"/>
          <w:sz w:val="22"/>
          <w:szCs w:val="22"/>
          <w:rtl/>
        </w:rPr>
        <w:t>کافی، ج 1، ص 57</w:t>
      </w:r>
      <w:r w:rsidR="00616C1A">
        <w:rPr>
          <w:rFonts w:hint="cs"/>
          <w:sz w:val="22"/>
          <w:szCs w:val="22"/>
          <w:rtl/>
        </w:rPr>
        <w:t>.</w:t>
      </w:r>
    </w:p>
  </w:footnote>
  <w:footnote w:id="2">
    <w:p w:rsidR="00616C1A" w:rsidRDefault="00616C1A" w:rsidP="00506C8E">
      <w:pPr>
        <w:pStyle w:val="FootnoteText"/>
        <w:rPr>
          <w:rtl/>
        </w:rPr>
      </w:pPr>
      <w:r>
        <w:rPr>
          <w:rStyle w:val="FootnoteReference"/>
        </w:rPr>
        <w:footnoteRef/>
      </w:r>
      <w:r w:rsidR="00506C8E">
        <w:rPr>
          <w:rFonts w:hint="cs"/>
          <w:rtl/>
        </w:rPr>
        <w:t>-</w:t>
      </w:r>
      <w:r>
        <w:t xml:space="preserve"> </w:t>
      </w:r>
      <w:r w:rsidR="00506C8E">
        <w:rPr>
          <w:rFonts w:hint="cs"/>
          <w:rtl/>
        </w:rPr>
        <w:t xml:space="preserve"> </w:t>
      </w:r>
      <w:r>
        <w:rPr>
          <w:rFonts w:hint="cs"/>
          <w:rtl/>
        </w:rPr>
        <w:t>سوره مائده، آیه 101.</w:t>
      </w:r>
    </w:p>
  </w:footnote>
  <w:footnote w:id="3">
    <w:p w:rsidR="007A089A" w:rsidRDefault="007A089A" w:rsidP="00506C8E">
      <w:pPr>
        <w:pStyle w:val="FootnoteText"/>
      </w:pPr>
      <w:r>
        <w:rPr>
          <w:rStyle w:val="FootnoteReference"/>
        </w:rPr>
        <w:footnoteRef/>
      </w:r>
      <w:r w:rsidR="00506C8E">
        <w:rPr>
          <w:rFonts w:hint="cs"/>
          <w:rtl/>
        </w:rPr>
        <w:t>-</w:t>
      </w:r>
      <w:r>
        <w:rPr>
          <w:rFonts w:hint="cs"/>
          <w:rtl/>
        </w:rPr>
        <w:t xml:space="preserve"> سوره نحل، آیه 43 و سوره انبیاء، آیه 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C8E" w:rsidRDefault="00506C8E" w:rsidP="00506C8E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80256" behindDoc="1" locked="0" layoutInCell="1" allowOverlap="1" wp14:anchorId="7696849B" wp14:editId="076A2CDE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14</w:t>
    </w:r>
    <w:r>
      <w:rPr>
        <w:rFonts w:ascii="Adobe Arabic" w:hAnsi="Adobe Arabic" w:cs="Adobe Arabic" w:hint="cs"/>
        <w:b/>
        <w:bCs/>
        <w:sz w:val="24"/>
        <w:szCs w:val="24"/>
        <w:rtl/>
      </w:rPr>
      <w:t>/07/99</w:t>
    </w:r>
  </w:p>
  <w:p w:rsidR="00506C8E" w:rsidRPr="00000B94" w:rsidRDefault="00506C8E" w:rsidP="00506C8E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تنقیح مناط</w:t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387</w:t>
    </w:r>
  </w:p>
  <w:p w:rsidR="00506C8E" w:rsidRPr="00873379" w:rsidRDefault="00506C8E" w:rsidP="00506C8E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164898F3" wp14:editId="7A205167">
              <wp:simplePos x="0" y="0"/>
              <wp:positionH relativeFrom="column">
                <wp:posOffset>43815</wp:posOffset>
              </wp:positionH>
              <wp:positionV relativeFrom="paragraph">
                <wp:posOffset>182296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9A4B1A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45pt,14.35pt" to="456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"/>
          </w:pict>
        </mc:Fallback>
      </mc:AlternateContent>
    </w:r>
  </w:p>
  <w:p w:rsidR="00766AD6" w:rsidRPr="00506C8E" w:rsidRDefault="00766AD6" w:rsidP="00506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32"/>
  </w:num>
  <w:num w:numId="15">
    <w:abstractNumId w:val="18"/>
  </w:num>
  <w:num w:numId="16">
    <w:abstractNumId w:val="9"/>
  </w:num>
  <w:num w:numId="17">
    <w:abstractNumId w:val="7"/>
  </w:num>
  <w:num w:numId="18">
    <w:abstractNumId w:val="33"/>
  </w:num>
  <w:num w:numId="19">
    <w:abstractNumId w:val="30"/>
  </w:num>
  <w:num w:numId="20">
    <w:abstractNumId w:val="5"/>
  </w:num>
  <w:num w:numId="21">
    <w:abstractNumId w:val="24"/>
  </w:num>
  <w:num w:numId="22">
    <w:abstractNumId w:val="27"/>
  </w:num>
  <w:num w:numId="23">
    <w:abstractNumId w:val="23"/>
  </w:num>
  <w:num w:numId="24">
    <w:abstractNumId w:val="34"/>
  </w:num>
  <w:num w:numId="25">
    <w:abstractNumId w:val="31"/>
  </w:num>
  <w:num w:numId="26">
    <w:abstractNumId w:val="29"/>
  </w:num>
  <w:num w:numId="27">
    <w:abstractNumId w:val="0"/>
  </w:num>
  <w:num w:numId="28">
    <w:abstractNumId w:val="21"/>
  </w:num>
  <w:num w:numId="29">
    <w:abstractNumId w:val="17"/>
  </w:num>
  <w:num w:numId="30">
    <w:abstractNumId w:val="28"/>
  </w:num>
  <w:num w:numId="31">
    <w:abstractNumId w:val="11"/>
  </w:num>
  <w:num w:numId="32">
    <w:abstractNumId w:val="14"/>
  </w:num>
  <w:num w:numId="33">
    <w:abstractNumId w:val="12"/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7060"/>
    <w:rsid w:val="0001090E"/>
    <w:rsid w:val="000125A7"/>
    <w:rsid w:val="000228A2"/>
    <w:rsid w:val="0002657F"/>
    <w:rsid w:val="000303E0"/>
    <w:rsid w:val="000324F1"/>
    <w:rsid w:val="000330CD"/>
    <w:rsid w:val="000342C4"/>
    <w:rsid w:val="00041FE0"/>
    <w:rsid w:val="00042E34"/>
    <w:rsid w:val="00045947"/>
    <w:rsid w:val="00045B14"/>
    <w:rsid w:val="00052BA3"/>
    <w:rsid w:val="0006363E"/>
    <w:rsid w:val="00063C89"/>
    <w:rsid w:val="00065213"/>
    <w:rsid w:val="00080DFF"/>
    <w:rsid w:val="00084511"/>
    <w:rsid w:val="00085BC9"/>
    <w:rsid w:val="00085ED5"/>
    <w:rsid w:val="000A0B5B"/>
    <w:rsid w:val="000A1A51"/>
    <w:rsid w:val="000B0FDA"/>
    <w:rsid w:val="000D2D0D"/>
    <w:rsid w:val="000D33E1"/>
    <w:rsid w:val="000D5800"/>
    <w:rsid w:val="000D6581"/>
    <w:rsid w:val="000E1E9B"/>
    <w:rsid w:val="000E7DC8"/>
    <w:rsid w:val="000F1897"/>
    <w:rsid w:val="000F6A9F"/>
    <w:rsid w:val="000F7E72"/>
    <w:rsid w:val="00101E2D"/>
    <w:rsid w:val="00102405"/>
    <w:rsid w:val="00102CEB"/>
    <w:rsid w:val="00102D47"/>
    <w:rsid w:val="001062AC"/>
    <w:rsid w:val="00114C37"/>
    <w:rsid w:val="00117955"/>
    <w:rsid w:val="00121097"/>
    <w:rsid w:val="00130EA3"/>
    <w:rsid w:val="00133E1D"/>
    <w:rsid w:val="00134E8C"/>
    <w:rsid w:val="0013617D"/>
    <w:rsid w:val="00136442"/>
    <w:rsid w:val="001367F5"/>
    <w:rsid w:val="001370B6"/>
    <w:rsid w:val="0013725D"/>
    <w:rsid w:val="00137758"/>
    <w:rsid w:val="00140827"/>
    <w:rsid w:val="0014142F"/>
    <w:rsid w:val="00150D4B"/>
    <w:rsid w:val="00152670"/>
    <w:rsid w:val="001550AE"/>
    <w:rsid w:val="00163FDB"/>
    <w:rsid w:val="00166DD8"/>
    <w:rsid w:val="001712D6"/>
    <w:rsid w:val="001757C8"/>
    <w:rsid w:val="00177934"/>
    <w:rsid w:val="00191268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4BD1"/>
    <w:rsid w:val="0021711E"/>
    <w:rsid w:val="00220B3F"/>
    <w:rsid w:val="00224C0A"/>
    <w:rsid w:val="00233777"/>
    <w:rsid w:val="00237480"/>
    <w:rsid w:val="002376A5"/>
    <w:rsid w:val="00237D69"/>
    <w:rsid w:val="002417C9"/>
    <w:rsid w:val="002529C5"/>
    <w:rsid w:val="00260E72"/>
    <w:rsid w:val="00270294"/>
    <w:rsid w:val="00283229"/>
    <w:rsid w:val="00287445"/>
    <w:rsid w:val="002914BD"/>
    <w:rsid w:val="00292299"/>
    <w:rsid w:val="00297263"/>
    <w:rsid w:val="002A04B3"/>
    <w:rsid w:val="002A21AE"/>
    <w:rsid w:val="002A35E0"/>
    <w:rsid w:val="002B0BA7"/>
    <w:rsid w:val="002B7AD5"/>
    <w:rsid w:val="002C5694"/>
    <w:rsid w:val="002C56FD"/>
    <w:rsid w:val="002D0CFD"/>
    <w:rsid w:val="002D49E4"/>
    <w:rsid w:val="002D5BDC"/>
    <w:rsid w:val="002D702A"/>
    <w:rsid w:val="002D720F"/>
    <w:rsid w:val="002E1E33"/>
    <w:rsid w:val="002E36C6"/>
    <w:rsid w:val="002E450B"/>
    <w:rsid w:val="002E5415"/>
    <w:rsid w:val="002E73F9"/>
    <w:rsid w:val="002F05B9"/>
    <w:rsid w:val="002F27EE"/>
    <w:rsid w:val="00306E3D"/>
    <w:rsid w:val="00311429"/>
    <w:rsid w:val="0031684F"/>
    <w:rsid w:val="00323168"/>
    <w:rsid w:val="003308B2"/>
    <w:rsid w:val="00331826"/>
    <w:rsid w:val="00334CB9"/>
    <w:rsid w:val="003367D5"/>
    <w:rsid w:val="00340BA3"/>
    <w:rsid w:val="00345941"/>
    <w:rsid w:val="003604C2"/>
    <w:rsid w:val="00363811"/>
    <w:rsid w:val="00366400"/>
    <w:rsid w:val="003963D7"/>
    <w:rsid w:val="00396F28"/>
    <w:rsid w:val="003A1A05"/>
    <w:rsid w:val="003A2654"/>
    <w:rsid w:val="003A5D9D"/>
    <w:rsid w:val="003C06BF"/>
    <w:rsid w:val="003C4F40"/>
    <w:rsid w:val="003C707F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403174"/>
    <w:rsid w:val="00405199"/>
    <w:rsid w:val="00406887"/>
    <w:rsid w:val="00410699"/>
    <w:rsid w:val="00410F49"/>
    <w:rsid w:val="00415360"/>
    <w:rsid w:val="004203BB"/>
    <w:rsid w:val="004215FA"/>
    <w:rsid w:val="0042744B"/>
    <w:rsid w:val="004421D4"/>
    <w:rsid w:val="00443EB7"/>
    <w:rsid w:val="00445551"/>
    <w:rsid w:val="0044591E"/>
    <w:rsid w:val="004476F0"/>
    <w:rsid w:val="00450AFB"/>
    <w:rsid w:val="00455277"/>
    <w:rsid w:val="00455B91"/>
    <w:rsid w:val="00455F4E"/>
    <w:rsid w:val="004651D2"/>
    <w:rsid w:val="00465D26"/>
    <w:rsid w:val="004679F8"/>
    <w:rsid w:val="00475C3C"/>
    <w:rsid w:val="004805FC"/>
    <w:rsid w:val="00492C9D"/>
    <w:rsid w:val="00496E04"/>
    <w:rsid w:val="004A022D"/>
    <w:rsid w:val="004A77C5"/>
    <w:rsid w:val="004A790F"/>
    <w:rsid w:val="004B2564"/>
    <w:rsid w:val="004B337F"/>
    <w:rsid w:val="004B5370"/>
    <w:rsid w:val="004C04FF"/>
    <w:rsid w:val="004C0ADD"/>
    <w:rsid w:val="004C4D9F"/>
    <w:rsid w:val="004E1D7D"/>
    <w:rsid w:val="004F3596"/>
    <w:rsid w:val="004F5456"/>
    <w:rsid w:val="00502AA8"/>
    <w:rsid w:val="005039FE"/>
    <w:rsid w:val="00506C8E"/>
    <w:rsid w:val="0051790F"/>
    <w:rsid w:val="00530FD7"/>
    <w:rsid w:val="00532B0A"/>
    <w:rsid w:val="00533A35"/>
    <w:rsid w:val="00535D58"/>
    <w:rsid w:val="00536E06"/>
    <w:rsid w:val="0053742D"/>
    <w:rsid w:val="00545B0C"/>
    <w:rsid w:val="00550D27"/>
    <w:rsid w:val="00551628"/>
    <w:rsid w:val="00560FD8"/>
    <w:rsid w:val="00561D6A"/>
    <w:rsid w:val="00572E2D"/>
    <w:rsid w:val="00572FD7"/>
    <w:rsid w:val="0057307B"/>
    <w:rsid w:val="00580CFA"/>
    <w:rsid w:val="00584656"/>
    <w:rsid w:val="00592103"/>
    <w:rsid w:val="005941DD"/>
    <w:rsid w:val="0059534F"/>
    <w:rsid w:val="00597748"/>
    <w:rsid w:val="005A28FA"/>
    <w:rsid w:val="005A545E"/>
    <w:rsid w:val="005A5862"/>
    <w:rsid w:val="005B05D4"/>
    <w:rsid w:val="005B0852"/>
    <w:rsid w:val="005B16EB"/>
    <w:rsid w:val="005C06AE"/>
    <w:rsid w:val="005C720E"/>
    <w:rsid w:val="005E1399"/>
    <w:rsid w:val="005F02BF"/>
    <w:rsid w:val="005F0B28"/>
    <w:rsid w:val="005F17B0"/>
    <w:rsid w:val="005F3E2E"/>
    <w:rsid w:val="005F7980"/>
    <w:rsid w:val="00603C19"/>
    <w:rsid w:val="00610B29"/>
    <w:rsid w:val="00610C18"/>
    <w:rsid w:val="00612385"/>
    <w:rsid w:val="0061376C"/>
    <w:rsid w:val="00616C1A"/>
    <w:rsid w:val="00617C7C"/>
    <w:rsid w:val="00622B0B"/>
    <w:rsid w:val="006248EF"/>
    <w:rsid w:val="00627180"/>
    <w:rsid w:val="00632FEF"/>
    <w:rsid w:val="0063646A"/>
    <w:rsid w:val="00636EFA"/>
    <w:rsid w:val="0066229C"/>
    <w:rsid w:val="00663739"/>
    <w:rsid w:val="00663AAD"/>
    <w:rsid w:val="0069696C"/>
    <w:rsid w:val="00696C84"/>
    <w:rsid w:val="006A085A"/>
    <w:rsid w:val="006C125E"/>
    <w:rsid w:val="006D3A87"/>
    <w:rsid w:val="006E1400"/>
    <w:rsid w:val="006E3628"/>
    <w:rsid w:val="006F01B4"/>
    <w:rsid w:val="006F6BFE"/>
    <w:rsid w:val="006F79E9"/>
    <w:rsid w:val="007007C8"/>
    <w:rsid w:val="00703DD3"/>
    <w:rsid w:val="007052BB"/>
    <w:rsid w:val="00715F5C"/>
    <w:rsid w:val="007160A3"/>
    <w:rsid w:val="0072457F"/>
    <w:rsid w:val="007254AF"/>
    <w:rsid w:val="007333F7"/>
    <w:rsid w:val="00734D59"/>
    <w:rsid w:val="0073609B"/>
    <w:rsid w:val="007378A9"/>
    <w:rsid w:val="00737A6C"/>
    <w:rsid w:val="00741805"/>
    <w:rsid w:val="00747189"/>
    <w:rsid w:val="0074771A"/>
    <w:rsid w:val="0075033E"/>
    <w:rsid w:val="00752745"/>
    <w:rsid w:val="0075336C"/>
    <w:rsid w:val="00753A93"/>
    <w:rsid w:val="00762886"/>
    <w:rsid w:val="0076665E"/>
    <w:rsid w:val="00766AD6"/>
    <w:rsid w:val="00767675"/>
    <w:rsid w:val="00772185"/>
    <w:rsid w:val="007749BC"/>
    <w:rsid w:val="00780C88"/>
    <w:rsid w:val="00780E25"/>
    <w:rsid w:val="007810A0"/>
    <w:rsid w:val="007818F0"/>
    <w:rsid w:val="00783462"/>
    <w:rsid w:val="00787B13"/>
    <w:rsid w:val="00792FAC"/>
    <w:rsid w:val="007A089A"/>
    <w:rsid w:val="007A208C"/>
    <w:rsid w:val="007A431B"/>
    <w:rsid w:val="007A4F18"/>
    <w:rsid w:val="007A5D2F"/>
    <w:rsid w:val="007B0062"/>
    <w:rsid w:val="007B6FEB"/>
    <w:rsid w:val="007C1EF7"/>
    <w:rsid w:val="007C2B43"/>
    <w:rsid w:val="007C710E"/>
    <w:rsid w:val="007D0B88"/>
    <w:rsid w:val="007D1549"/>
    <w:rsid w:val="007D2ED1"/>
    <w:rsid w:val="007D528B"/>
    <w:rsid w:val="007E03E9"/>
    <w:rsid w:val="007E04EE"/>
    <w:rsid w:val="007E1A20"/>
    <w:rsid w:val="007E499E"/>
    <w:rsid w:val="007E636F"/>
    <w:rsid w:val="007E6423"/>
    <w:rsid w:val="007E7FA7"/>
    <w:rsid w:val="007F0721"/>
    <w:rsid w:val="007F293C"/>
    <w:rsid w:val="007F3221"/>
    <w:rsid w:val="007F4A90"/>
    <w:rsid w:val="007F6FBC"/>
    <w:rsid w:val="007F7E76"/>
    <w:rsid w:val="0080273E"/>
    <w:rsid w:val="00802D15"/>
    <w:rsid w:val="00803501"/>
    <w:rsid w:val="0080799B"/>
    <w:rsid w:val="00807BE3"/>
    <w:rsid w:val="00807EE0"/>
    <w:rsid w:val="00811276"/>
    <w:rsid w:val="00811F02"/>
    <w:rsid w:val="00822089"/>
    <w:rsid w:val="00833847"/>
    <w:rsid w:val="008359B7"/>
    <w:rsid w:val="008407A4"/>
    <w:rsid w:val="008418B5"/>
    <w:rsid w:val="00844860"/>
    <w:rsid w:val="00845CC4"/>
    <w:rsid w:val="0086243C"/>
    <w:rsid w:val="00862B2E"/>
    <w:rsid w:val="0086349B"/>
    <w:rsid w:val="008644F4"/>
    <w:rsid w:val="00864CA5"/>
    <w:rsid w:val="00871C42"/>
    <w:rsid w:val="00873379"/>
    <w:rsid w:val="008748B8"/>
    <w:rsid w:val="00875597"/>
    <w:rsid w:val="00883733"/>
    <w:rsid w:val="00891E54"/>
    <w:rsid w:val="008965D2"/>
    <w:rsid w:val="008A236D"/>
    <w:rsid w:val="008A3AE6"/>
    <w:rsid w:val="008A3B4B"/>
    <w:rsid w:val="008A3BD7"/>
    <w:rsid w:val="008B2AFF"/>
    <w:rsid w:val="008B3C4A"/>
    <w:rsid w:val="008B5651"/>
    <w:rsid w:val="008B565A"/>
    <w:rsid w:val="008C3414"/>
    <w:rsid w:val="008C4B52"/>
    <w:rsid w:val="008D030F"/>
    <w:rsid w:val="008D2FBE"/>
    <w:rsid w:val="008D3287"/>
    <w:rsid w:val="008D36D5"/>
    <w:rsid w:val="008D47C3"/>
    <w:rsid w:val="008E12FF"/>
    <w:rsid w:val="008E3903"/>
    <w:rsid w:val="008E4F7C"/>
    <w:rsid w:val="008E7053"/>
    <w:rsid w:val="008F083F"/>
    <w:rsid w:val="008F63E3"/>
    <w:rsid w:val="00900A8F"/>
    <w:rsid w:val="009065C2"/>
    <w:rsid w:val="00913C3B"/>
    <w:rsid w:val="00915509"/>
    <w:rsid w:val="00923F1E"/>
    <w:rsid w:val="00924401"/>
    <w:rsid w:val="00927388"/>
    <w:rsid w:val="009274FE"/>
    <w:rsid w:val="009314AE"/>
    <w:rsid w:val="00932EE3"/>
    <w:rsid w:val="009401AC"/>
    <w:rsid w:val="00940323"/>
    <w:rsid w:val="009475B7"/>
    <w:rsid w:val="00951DEB"/>
    <w:rsid w:val="0095758E"/>
    <w:rsid w:val="00957E3B"/>
    <w:rsid w:val="00960140"/>
    <w:rsid w:val="009613AC"/>
    <w:rsid w:val="00980643"/>
    <w:rsid w:val="009A2204"/>
    <w:rsid w:val="009A42EF"/>
    <w:rsid w:val="009A5E52"/>
    <w:rsid w:val="009A5F72"/>
    <w:rsid w:val="009A6135"/>
    <w:rsid w:val="009A7573"/>
    <w:rsid w:val="009B46BC"/>
    <w:rsid w:val="009B61C3"/>
    <w:rsid w:val="009B71DE"/>
    <w:rsid w:val="009C636B"/>
    <w:rsid w:val="009C7B4F"/>
    <w:rsid w:val="009D054F"/>
    <w:rsid w:val="009D24A2"/>
    <w:rsid w:val="009D32A4"/>
    <w:rsid w:val="009E1F06"/>
    <w:rsid w:val="009E63CB"/>
    <w:rsid w:val="009F34A8"/>
    <w:rsid w:val="009F4EB3"/>
    <w:rsid w:val="009F5F6C"/>
    <w:rsid w:val="00A05445"/>
    <w:rsid w:val="00A06D48"/>
    <w:rsid w:val="00A10836"/>
    <w:rsid w:val="00A1155E"/>
    <w:rsid w:val="00A13864"/>
    <w:rsid w:val="00A14226"/>
    <w:rsid w:val="00A21834"/>
    <w:rsid w:val="00A256CF"/>
    <w:rsid w:val="00A31C17"/>
    <w:rsid w:val="00A31FDE"/>
    <w:rsid w:val="00A35AC2"/>
    <w:rsid w:val="00A37C77"/>
    <w:rsid w:val="00A43358"/>
    <w:rsid w:val="00A5418D"/>
    <w:rsid w:val="00A57907"/>
    <w:rsid w:val="00A6237F"/>
    <w:rsid w:val="00A6441E"/>
    <w:rsid w:val="00A670B9"/>
    <w:rsid w:val="00A72088"/>
    <w:rsid w:val="00A725C2"/>
    <w:rsid w:val="00A7321C"/>
    <w:rsid w:val="00A769EE"/>
    <w:rsid w:val="00A810A5"/>
    <w:rsid w:val="00A83BDA"/>
    <w:rsid w:val="00A91767"/>
    <w:rsid w:val="00A9616A"/>
    <w:rsid w:val="00A96F68"/>
    <w:rsid w:val="00AA2342"/>
    <w:rsid w:val="00AA51DB"/>
    <w:rsid w:val="00AA5BDD"/>
    <w:rsid w:val="00AB3F0F"/>
    <w:rsid w:val="00AC4A13"/>
    <w:rsid w:val="00AC7D0F"/>
    <w:rsid w:val="00AD0304"/>
    <w:rsid w:val="00AD27BE"/>
    <w:rsid w:val="00AD40C4"/>
    <w:rsid w:val="00AE5FD2"/>
    <w:rsid w:val="00AF0F1A"/>
    <w:rsid w:val="00AF1ABE"/>
    <w:rsid w:val="00B002D6"/>
    <w:rsid w:val="00B01724"/>
    <w:rsid w:val="00B07D3E"/>
    <w:rsid w:val="00B119C3"/>
    <w:rsid w:val="00B1300D"/>
    <w:rsid w:val="00B15027"/>
    <w:rsid w:val="00B21CF4"/>
    <w:rsid w:val="00B24300"/>
    <w:rsid w:val="00B307B6"/>
    <w:rsid w:val="00B330C7"/>
    <w:rsid w:val="00B34736"/>
    <w:rsid w:val="00B43691"/>
    <w:rsid w:val="00B504A9"/>
    <w:rsid w:val="00B51A22"/>
    <w:rsid w:val="00B55D51"/>
    <w:rsid w:val="00B564B8"/>
    <w:rsid w:val="00B62CB0"/>
    <w:rsid w:val="00B63F15"/>
    <w:rsid w:val="00B66C45"/>
    <w:rsid w:val="00B77CA1"/>
    <w:rsid w:val="00B80B86"/>
    <w:rsid w:val="00B9119B"/>
    <w:rsid w:val="00B95FC1"/>
    <w:rsid w:val="00B96A3B"/>
    <w:rsid w:val="00BA3F7D"/>
    <w:rsid w:val="00BA51A8"/>
    <w:rsid w:val="00BB1708"/>
    <w:rsid w:val="00BB1C64"/>
    <w:rsid w:val="00BB5F7E"/>
    <w:rsid w:val="00BC26F6"/>
    <w:rsid w:val="00BC4833"/>
    <w:rsid w:val="00BC7094"/>
    <w:rsid w:val="00BD3122"/>
    <w:rsid w:val="00BD40DA"/>
    <w:rsid w:val="00BE07A8"/>
    <w:rsid w:val="00BE4AE8"/>
    <w:rsid w:val="00BF2A64"/>
    <w:rsid w:val="00BF3D67"/>
    <w:rsid w:val="00BF4A4D"/>
    <w:rsid w:val="00C076E4"/>
    <w:rsid w:val="00C160AF"/>
    <w:rsid w:val="00C17970"/>
    <w:rsid w:val="00C21058"/>
    <w:rsid w:val="00C22299"/>
    <w:rsid w:val="00C2269D"/>
    <w:rsid w:val="00C25609"/>
    <w:rsid w:val="00C262D7"/>
    <w:rsid w:val="00C26607"/>
    <w:rsid w:val="00C30966"/>
    <w:rsid w:val="00C335B2"/>
    <w:rsid w:val="00C35CF1"/>
    <w:rsid w:val="00C45418"/>
    <w:rsid w:val="00C52247"/>
    <w:rsid w:val="00C54AE8"/>
    <w:rsid w:val="00C55D3E"/>
    <w:rsid w:val="00C60D75"/>
    <w:rsid w:val="00C64CEA"/>
    <w:rsid w:val="00C661F9"/>
    <w:rsid w:val="00C73012"/>
    <w:rsid w:val="00C76295"/>
    <w:rsid w:val="00C763DD"/>
    <w:rsid w:val="00C803C2"/>
    <w:rsid w:val="00C805CE"/>
    <w:rsid w:val="00C84FC0"/>
    <w:rsid w:val="00C87608"/>
    <w:rsid w:val="00C90775"/>
    <w:rsid w:val="00C9244A"/>
    <w:rsid w:val="00C969A3"/>
    <w:rsid w:val="00C9781A"/>
    <w:rsid w:val="00CA3B00"/>
    <w:rsid w:val="00CA7B4F"/>
    <w:rsid w:val="00CB0E5D"/>
    <w:rsid w:val="00CB5DA3"/>
    <w:rsid w:val="00CC0E9C"/>
    <w:rsid w:val="00CC1376"/>
    <w:rsid w:val="00CC3976"/>
    <w:rsid w:val="00CC5DBD"/>
    <w:rsid w:val="00CC720E"/>
    <w:rsid w:val="00CD0F33"/>
    <w:rsid w:val="00CD7D9D"/>
    <w:rsid w:val="00CE09B7"/>
    <w:rsid w:val="00CE1DF5"/>
    <w:rsid w:val="00CE1E36"/>
    <w:rsid w:val="00CE31E6"/>
    <w:rsid w:val="00CE3B74"/>
    <w:rsid w:val="00CF42E2"/>
    <w:rsid w:val="00CF6D24"/>
    <w:rsid w:val="00CF7689"/>
    <w:rsid w:val="00CF7916"/>
    <w:rsid w:val="00D06B3D"/>
    <w:rsid w:val="00D158F3"/>
    <w:rsid w:val="00D15FDC"/>
    <w:rsid w:val="00D174EE"/>
    <w:rsid w:val="00D207CC"/>
    <w:rsid w:val="00D2470E"/>
    <w:rsid w:val="00D3471F"/>
    <w:rsid w:val="00D3665C"/>
    <w:rsid w:val="00D417CF"/>
    <w:rsid w:val="00D508CC"/>
    <w:rsid w:val="00D50F4B"/>
    <w:rsid w:val="00D54D44"/>
    <w:rsid w:val="00D60547"/>
    <w:rsid w:val="00D63C1D"/>
    <w:rsid w:val="00D66444"/>
    <w:rsid w:val="00D67AA0"/>
    <w:rsid w:val="00D75673"/>
    <w:rsid w:val="00D76353"/>
    <w:rsid w:val="00D77252"/>
    <w:rsid w:val="00D9606A"/>
    <w:rsid w:val="00DA09E1"/>
    <w:rsid w:val="00DA34F7"/>
    <w:rsid w:val="00DB21CF"/>
    <w:rsid w:val="00DB28BB"/>
    <w:rsid w:val="00DC0541"/>
    <w:rsid w:val="00DC603F"/>
    <w:rsid w:val="00DD1470"/>
    <w:rsid w:val="00DD3C0D"/>
    <w:rsid w:val="00DD4864"/>
    <w:rsid w:val="00DD71A2"/>
    <w:rsid w:val="00DE1DC4"/>
    <w:rsid w:val="00DE2CB9"/>
    <w:rsid w:val="00DE43B4"/>
    <w:rsid w:val="00DE532A"/>
    <w:rsid w:val="00DF56E4"/>
    <w:rsid w:val="00E0639C"/>
    <w:rsid w:val="00E067E6"/>
    <w:rsid w:val="00E073A9"/>
    <w:rsid w:val="00E12531"/>
    <w:rsid w:val="00E143B0"/>
    <w:rsid w:val="00E14C06"/>
    <w:rsid w:val="00E3737E"/>
    <w:rsid w:val="00E4012D"/>
    <w:rsid w:val="00E45ECB"/>
    <w:rsid w:val="00E50F5E"/>
    <w:rsid w:val="00E55891"/>
    <w:rsid w:val="00E61B1F"/>
    <w:rsid w:val="00E6283A"/>
    <w:rsid w:val="00E63178"/>
    <w:rsid w:val="00E732A3"/>
    <w:rsid w:val="00E73B33"/>
    <w:rsid w:val="00E83A85"/>
    <w:rsid w:val="00E9026B"/>
    <w:rsid w:val="00E904AF"/>
    <w:rsid w:val="00E90FC4"/>
    <w:rsid w:val="00E93516"/>
    <w:rsid w:val="00EA01EC"/>
    <w:rsid w:val="00EA15B0"/>
    <w:rsid w:val="00EA5D97"/>
    <w:rsid w:val="00EB0BDB"/>
    <w:rsid w:val="00EB106C"/>
    <w:rsid w:val="00EB3D35"/>
    <w:rsid w:val="00EC36A1"/>
    <w:rsid w:val="00EC4393"/>
    <w:rsid w:val="00ED2236"/>
    <w:rsid w:val="00ED4BE3"/>
    <w:rsid w:val="00EE1C07"/>
    <w:rsid w:val="00EE2C91"/>
    <w:rsid w:val="00EE3979"/>
    <w:rsid w:val="00EE7A7F"/>
    <w:rsid w:val="00EF138C"/>
    <w:rsid w:val="00F01AFE"/>
    <w:rsid w:val="00F034CE"/>
    <w:rsid w:val="00F0654E"/>
    <w:rsid w:val="00F07574"/>
    <w:rsid w:val="00F10A0F"/>
    <w:rsid w:val="00F12F44"/>
    <w:rsid w:val="00F155FB"/>
    <w:rsid w:val="00F1562C"/>
    <w:rsid w:val="00F17E33"/>
    <w:rsid w:val="00F25714"/>
    <w:rsid w:val="00F30EEF"/>
    <w:rsid w:val="00F3446D"/>
    <w:rsid w:val="00F40284"/>
    <w:rsid w:val="00F51FE1"/>
    <w:rsid w:val="00F53380"/>
    <w:rsid w:val="00F57CB9"/>
    <w:rsid w:val="00F67976"/>
    <w:rsid w:val="00F70BE1"/>
    <w:rsid w:val="00F726D0"/>
    <w:rsid w:val="00F729E7"/>
    <w:rsid w:val="00F76398"/>
    <w:rsid w:val="00F85929"/>
    <w:rsid w:val="00FA1BD2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CCDB1CA1-6BD0-4DAF-A718-0FB67CD3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3646A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3646A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119C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B119C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9164-6064-403C-9CBA-3F8B7B79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</TotalTime>
  <Pages>9</Pages>
  <Words>2365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3</cp:revision>
  <cp:lastPrinted>2020-10-03T14:53:00Z</cp:lastPrinted>
  <dcterms:created xsi:type="dcterms:W3CDTF">2020-10-05T16:41:00Z</dcterms:created>
  <dcterms:modified xsi:type="dcterms:W3CDTF">2020-10-06T03:56:00Z</dcterms:modified>
</cp:coreProperties>
</file>