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1D" w:rsidRDefault="0025629D" w:rsidP="0025629D">
      <w:pPr>
        <w:bidi/>
        <w:spacing w:line="360" w:lineRule="auto"/>
        <w:jc w:val="both"/>
        <w:rPr>
          <w:noProof/>
        </w:rPr>
      </w:pPr>
      <w:r>
        <w:rPr>
          <w:rFonts w:ascii="IRBadr" w:hAnsi="IRBadr" w:cs="IRBadr" w:hint="cs"/>
          <w:sz w:val="28"/>
          <w:szCs w:val="28"/>
          <w:rtl/>
          <w:lang w:bidi="fa-IR"/>
        </w:rPr>
        <w:t>بسم الله الرحمن الرحی</w:t>
      </w:r>
      <w:r w:rsidR="00283C95">
        <w:rPr>
          <w:rFonts w:ascii="IRBadr" w:hAnsi="IRBadr" w:cs="IRBadr" w:hint="cs"/>
          <w:sz w:val="28"/>
          <w:szCs w:val="28"/>
          <w:rtl/>
          <w:lang w:bidi="fa-IR"/>
        </w:rPr>
        <w:t>م</w:t>
      </w:r>
      <w:r w:rsidR="009F731D">
        <w:rPr>
          <w:rFonts w:ascii="IRBadr" w:hAnsi="IRBadr" w:cs="IRBadr"/>
          <w:sz w:val="28"/>
          <w:szCs w:val="28"/>
          <w:rtl/>
          <w:lang w:bidi="fa-IR"/>
        </w:rPr>
        <w:fldChar w:fldCharType="begin"/>
      </w:r>
      <w:r w:rsidR="009F731D">
        <w:rPr>
          <w:rFonts w:ascii="IRBadr" w:hAnsi="IRBadr" w:cs="IRBadr"/>
          <w:sz w:val="28"/>
          <w:szCs w:val="28"/>
          <w:rtl/>
          <w:lang w:bidi="fa-IR"/>
        </w:rPr>
        <w:instrText xml:space="preserve"> </w:instrText>
      </w:r>
      <w:r w:rsidR="009F731D">
        <w:rPr>
          <w:rFonts w:ascii="IRBadr" w:hAnsi="IRBadr" w:cs="IRBadr"/>
          <w:sz w:val="28"/>
          <w:szCs w:val="28"/>
          <w:lang w:bidi="fa-IR"/>
        </w:rPr>
        <w:instrText>TOC</w:instrText>
      </w:r>
      <w:r w:rsidR="009F731D">
        <w:rPr>
          <w:rFonts w:ascii="IRBadr" w:hAnsi="IRBadr" w:cs="IRBadr"/>
          <w:sz w:val="28"/>
          <w:szCs w:val="28"/>
          <w:rtl/>
          <w:lang w:bidi="fa-IR"/>
        </w:rPr>
        <w:instrText xml:space="preserve"> \</w:instrText>
      </w:r>
      <w:r w:rsidR="009F731D">
        <w:rPr>
          <w:rFonts w:ascii="IRBadr" w:hAnsi="IRBadr" w:cs="IRBadr"/>
          <w:sz w:val="28"/>
          <w:szCs w:val="28"/>
          <w:lang w:bidi="fa-IR"/>
        </w:rPr>
        <w:instrText>o "1-6" \h \z \u</w:instrText>
      </w:r>
      <w:r w:rsidR="009F731D">
        <w:rPr>
          <w:rFonts w:ascii="IRBadr" w:hAnsi="IRBadr" w:cs="IRBadr"/>
          <w:sz w:val="28"/>
          <w:szCs w:val="28"/>
          <w:rtl/>
          <w:lang w:bidi="fa-IR"/>
        </w:rPr>
        <w:instrText xml:space="preserve"> </w:instrText>
      </w:r>
      <w:r w:rsidR="009F731D">
        <w:rPr>
          <w:rFonts w:ascii="IRBadr" w:hAnsi="IRBadr" w:cs="IRBadr"/>
          <w:sz w:val="28"/>
          <w:szCs w:val="28"/>
          <w:rtl/>
          <w:lang w:bidi="fa-IR"/>
        </w:rPr>
        <w:fldChar w:fldCharType="separate"/>
      </w:r>
    </w:p>
    <w:p w:rsidR="009F731D" w:rsidRDefault="009F731D" w:rsidP="009F731D">
      <w:pPr>
        <w:pStyle w:val="TOC1"/>
        <w:tabs>
          <w:tab w:val="right" w:leader="dot" w:pos="9350"/>
        </w:tabs>
        <w:rPr>
          <w:rFonts w:asciiTheme="minorHAnsi" w:hAnsiTheme="minorHAnsi" w:cstheme="minorBidi"/>
          <w:noProof/>
          <w:szCs w:val="22"/>
        </w:rPr>
      </w:pPr>
      <w:hyperlink w:anchor="_Toc431655058" w:history="1">
        <w:r w:rsidRPr="0055568B">
          <w:rPr>
            <w:rStyle w:val="Hyperlink"/>
            <w:rFonts w:hint="eastAsia"/>
            <w:noProof/>
            <w:rtl/>
          </w:rPr>
          <w:t>دل</w:t>
        </w:r>
        <w:r w:rsidRPr="0055568B">
          <w:rPr>
            <w:rStyle w:val="Hyperlink"/>
            <w:rFonts w:hint="cs"/>
            <w:noProof/>
            <w:rtl/>
          </w:rPr>
          <w:t>ی</w:t>
        </w:r>
        <w:r w:rsidRPr="0055568B">
          <w:rPr>
            <w:rStyle w:val="Hyperlink"/>
            <w:rFonts w:hint="eastAsia"/>
            <w:noProof/>
            <w:rtl/>
          </w:rPr>
          <w:t>ل</w:t>
        </w:r>
        <w:r w:rsidRPr="0055568B">
          <w:rPr>
            <w:rStyle w:val="Hyperlink"/>
            <w:noProof/>
            <w:rtl/>
          </w:rPr>
          <w:t xml:space="preserve"> </w:t>
        </w:r>
        <w:r w:rsidRPr="0055568B">
          <w:rPr>
            <w:rStyle w:val="Hyperlink"/>
            <w:rFonts w:hint="eastAsia"/>
            <w:noProof/>
            <w:rtl/>
          </w:rPr>
          <w:t>پنجم</w:t>
        </w:r>
        <w:r w:rsidRPr="0055568B">
          <w:rPr>
            <w:rStyle w:val="Hyperlink"/>
            <w:noProof/>
            <w:rtl/>
          </w:rPr>
          <w:t xml:space="preserve"> </w:t>
        </w:r>
        <w:r w:rsidRPr="0055568B">
          <w:rPr>
            <w:rStyle w:val="Hyperlink"/>
            <w:rFonts w:hint="eastAsia"/>
            <w:noProof/>
            <w:rtl/>
          </w:rPr>
          <w:t>از</w:t>
        </w:r>
        <w:r w:rsidRPr="0055568B">
          <w:rPr>
            <w:rStyle w:val="Hyperlink"/>
            <w:noProof/>
            <w:rtl/>
          </w:rPr>
          <w:t xml:space="preserve"> </w:t>
        </w:r>
        <w:r w:rsidRPr="0055568B">
          <w:rPr>
            <w:rStyle w:val="Hyperlink"/>
            <w:rFonts w:hint="eastAsia"/>
            <w:noProof/>
            <w:rtl/>
          </w:rPr>
          <w:t>مبحث</w:t>
        </w:r>
        <w:r w:rsidRPr="0055568B">
          <w:rPr>
            <w:rStyle w:val="Hyperlink"/>
            <w:noProof/>
            <w:rtl/>
          </w:rPr>
          <w:t xml:space="preserve"> </w:t>
        </w:r>
        <w:r w:rsidRPr="0055568B">
          <w:rPr>
            <w:rStyle w:val="Hyperlink"/>
            <w:rFonts w:hint="eastAsia"/>
            <w:noProof/>
            <w:rtl/>
          </w:rPr>
          <w:t>اجتماع</w:t>
        </w:r>
        <w:r>
          <w:rPr>
            <w:noProof/>
            <w:webHidden/>
          </w:rPr>
          <w:tab/>
        </w:r>
        <w:r>
          <w:rPr>
            <w:rStyle w:val="Hyperlink"/>
            <w:noProof/>
            <w:rtl/>
          </w:rPr>
          <w:fldChar w:fldCharType="begin"/>
        </w:r>
        <w:r>
          <w:rPr>
            <w:noProof/>
            <w:webHidden/>
          </w:rPr>
          <w:instrText xml:space="preserve"> PAGEREF _Toc431655058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F731D" w:rsidRDefault="009F731D" w:rsidP="009F731D">
      <w:pPr>
        <w:pStyle w:val="TOC1"/>
        <w:tabs>
          <w:tab w:val="right" w:leader="dot" w:pos="9350"/>
        </w:tabs>
        <w:rPr>
          <w:rFonts w:asciiTheme="minorHAnsi" w:hAnsiTheme="minorHAnsi" w:cstheme="minorBidi"/>
          <w:noProof/>
          <w:szCs w:val="22"/>
        </w:rPr>
      </w:pPr>
      <w:hyperlink w:anchor="_Toc431655059" w:history="1">
        <w:r w:rsidRPr="0055568B">
          <w:rPr>
            <w:rStyle w:val="Hyperlink"/>
            <w:rFonts w:hint="eastAsia"/>
            <w:noProof/>
            <w:rtl/>
          </w:rPr>
          <w:t>تشر</w:t>
        </w:r>
        <w:r w:rsidRPr="0055568B">
          <w:rPr>
            <w:rStyle w:val="Hyperlink"/>
            <w:rFonts w:hint="cs"/>
            <w:noProof/>
            <w:rtl/>
          </w:rPr>
          <w:t>ی</w:t>
        </w:r>
        <w:r w:rsidRPr="0055568B">
          <w:rPr>
            <w:rStyle w:val="Hyperlink"/>
            <w:rFonts w:hint="eastAsia"/>
            <w:noProof/>
            <w:rtl/>
          </w:rPr>
          <w:t>ح</w:t>
        </w:r>
        <w:r w:rsidRPr="0055568B">
          <w:rPr>
            <w:rStyle w:val="Hyperlink"/>
            <w:noProof/>
            <w:rtl/>
          </w:rPr>
          <w:t xml:space="preserve"> </w:t>
        </w:r>
        <w:r w:rsidRPr="0055568B">
          <w:rPr>
            <w:rStyle w:val="Hyperlink"/>
            <w:rFonts w:hint="eastAsia"/>
            <w:noProof/>
            <w:rtl/>
          </w:rPr>
          <w:t>استدلال</w:t>
        </w:r>
        <w:r w:rsidRPr="0055568B">
          <w:rPr>
            <w:rStyle w:val="Hyperlink"/>
            <w:noProof/>
            <w:rtl/>
          </w:rPr>
          <w:t xml:space="preserve"> </w:t>
        </w:r>
        <w:r w:rsidRPr="0055568B">
          <w:rPr>
            <w:rStyle w:val="Hyperlink"/>
            <w:rFonts w:hint="eastAsia"/>
            <w:noProof/>
            <w:rtl/>
          </w:rPr>
          <w:t>مجوز</w:t>
        </w:r>
        <w:r w:rsidRPr="0055568B">
          <w:rPr>
            <w:rStyle w:val="Hyperlink"/>
            <w:rFonts w:hint="cs"/>
            <w:noProof/>
            <w:rtl/>
          </w:rPr>
          <w:t>ی</w:t>
        </w:r>
        <w:r w:rsidRPr="0055568B">
          <w:rPr>
            <w:rStyle w:val="Hyperlink"/>
            <w:rFonts w:hint="eastAsia"/>
            <w:noProof/>
            <w:rtl/>
          </w:rPr>
          <w:t>ن</w:t>
        </w:r>
        <w:r>
          <w:rPr>
            <w:noProof/>
            <w:webHidden/>
          </w:rPr>
          <w:tab/>
        </w:r>
        <w:r>
          <w:rPr>
            <w:rStyle w:val="Hyperlink"/>
            <w:noProof/>
            <w:rtl/>
          </w:rPr>
          <w:fldChar w:fldCharType="begin"/>
        </w:r>
        <w:r>
          <w:rPr>
            <w:noProof/>
            <w:webHidden/>
          </w:rPr>
          <w:instrText xml:space="preserve"> PAGEREF _Toc431655059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F731D" w:rsidRDefault="009F731D" w:rsidP="009F731D">
      <w:pPr>
        <w:pStyle w:val="TOC1"/>
        <w:tabs>
          <w:tab w:val="right" w:leader="dot" w:pos="9350"/>
        </w:tabs>
        <w:rPr>
          <w:rFonts w:asciiTheme="minorHAnsi" w:hAnsiTheme="minorHAnsi" w:cstheme="minorBidi"/>
          <w:noProof/>
          <w:szCs w:val="22"/>
        </w:rPr>
      </w:pPr>
      <w:hyperlink w:anchor="_Toc431655060" w:history="1">
        <w:r w:rsidRPr="0055568B">
          <w:rPr>
            <w:rStyle w:val="Hyperlink"/>
            <w:rFonts w:hint="eastAsia"/>
            <w:noProof/>
            <w:rtl/>
          </w:rPr>
          <w:t>ک</w:t>
        </w:r>
        <w:r w:rsidRPr="0055568B">
          <w:rPr>
            <w:rStyle w:val="Hyperlink"/>
            <w:rFonts w:hint="cs"/>
            <w:noProof/>
            <w:rtl/>
          </w:rPr>
          <w:t>ی</w:t>
        </w:r>
        <w:r w:rsidRPr="0055568B">
          <w:rPr>
            <w:rStyle w:val="Hyperlink"/>
            <w:rFonts w:hint="eastAsia"/>
            <w:noProof/>
            <w:rtl/>
          </w:rPr>
          <w:t>ف</w:t>
        </w:r>
        <w:r w:rsidRPr="0055568B">
          <w:rPr>
            <w:rStyle w:val="Hyperlink"/>
            <w:rFonts w:hint="cs"/>
            <w:noProof/>
            <w:rtl/>
          </w:rPr>
          <w:t>ی</w:t>
        </w:r>
        <w:r w:rsidRPr="0055568B">
          <w:rPr>
            <w:rStyle w:val="Hyperlink"/>
            <w:rFonts w:hint="eastAsia"/>
            <w:noProof/>
            <w:rtl/>
          </w:rPr>
          <w:t>ت</w:t>
        </w:r>
        <w:r w:rsidRPr="0055568B">
          <w:rPr>
            <w:rStyle w:val="Hyperlink"/>
            <w:noProof/>
            <w:rtl/>
          </w:rPr>
          <w:t xml:space="preserve"> </w:t>
        </w:r>
        <w:r w:rsidRPr="0055568B">
          <w:rPr>
            <w:rStyle w:val="Hyperlink"/>
            <w:rFonts w:hint="eastAsia"/>
            <w:noProof/>
            <w:rtl/>
          </w:rPr>
          <w:t>وقوع</w:t>
        </w:r>
        <w:r w:rsidRPr="0055568B">
          <w:rPr>
            <w:rStyle w:val="Hyperlink"/>
            <w:noProof/>
            <w:rtl/>
          </w:rPr>
          <w:t xml:space="preserve"> </w:t>
        </w:r>
        <w:r w:rsidRPr="0055568B">
          <w:rPr>
            <w:rStyle w:val="Hyperlink"/>
            <w:rFonts w:hint="eastAsia"/>
            <w:noProof/>
            <w:rtl/>
          </w:rPr>
          <w:t>در</w:t>
        </w:r>
        <w:r w:rsidRPr="0055568B">
          <w:rPr>
            <w:rStyle w:val="Hyperlink"/>
            <w:noProof/>
            <w:rtl/>
          </w:rPr>
          <w:t xml:space="preserve"> </w:t>
        </w:r>
        <w:r w:rsidRPr="0055568B">
          <w:rPr>
            <w:rStyle w:val="Hyperlink"/>
            <w:rFonts w:hint="eastAsia"/>
            <w:noProof/>
            <w:rtl/>
          </w:rPr>
          <w:t>ا</w:t>
        </w:r>
        <w:r w:rsidRPr="0055568B">
          <w:rPr>
            <w:rStyle w:val="Hyperlink"/>
            <w:rFonts w:hint="cs"/>
            <w:noProof/>
            <w:rtl/>
          </w:rPr>
          <w:t>ی</w:t>
        </w:r>
        <w:r w:rsidRPr="0055568B">
          <w:rPr>
            <w:rStyle w:val="Hyperlink"/>
            <w:rFonts w:hint="eastAsia"/>
            <w:noProof/>
            <w:rtl/>
          </w:rPr>
          <w:t>ن</w:t>
        </w:r>
        <w:r w:rsidRPr="0055568B">
          <w:rPr>
            <w:rStyle w:val="Hyperlink"/>
            <w:noProof/>
            <w:rtl/>
          </w:rPr>
          <w:t xml:space="preserve"> </w:t>
        </w:r>
        <w:r w:rsidRPr="0055568B">
          <w:rPr>
            <w:rStyle w:val="Hyperlink"/>
            <w:rFonts w:hint="eastAsia"/>
            <w:noProof/>
            <w:rtl/>
          </w:rPr>
          <w:t>مقام</w:t>
        </w:r>
        <w:r>
          <w:rPr>
            <w:noProof/>
            <w:webHidden/>
          </w:rPr>
          <w:tab/>
        </w:r>
        <w:r>
          <w:rPr>
            <w:rStyle w:val="Hyperlink"/>
            <w:noProof/>
            <w:rtl/>
          </w:rPr>
          <w:fldChar w:fldCharType="begin"/>
        </w:r>
        <w:r>
          <w:rPr>
            <w:noProof/>
            <w:webHidden/>
          </w:rPr>
          <w:instrText xml:space="preserve"> PAGEREF _Toc431655060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1" w:history="1">
        <w:r w:rsidRPr="0055568B">
          <w:rPr>
            <w:rStyle w:val="Hyperlink"/>
            <w:rFonts w:hint="eastAsia"/>
            <w:noProof/>
            <w:rtl/>
          </w:rPr>
          <w:t>پاسخ</w:t>
        </w:r>
        <w:r w:rsidRPr="0055568B">
          <w:rPr>
            <w:rStyle w:val="Hyperlink"/>
            <w:noProof/>
            <w:rtl/>
          </w:rPr>
          <w:t xml:space="preserve"> </w:t>
        </w:r>
        <w:r w:rsidRPr="0055568B">
          <w:rPr>
            <w:rStyle w:val="Hyperlink"/>
            <w:rFonts w:hint="eastAsia"/>
            <w:noProof/>
            <w:rtl/>
          </w:rPr>
          <w:t>ها</w:t>
        </w:r>
        <w:r w:rsidRPr="0055568B">
          <w:rPr>
            <w:rStyle w:val="Hyperlink"/>
            <w:noProof/>
            <w:rtl/>
          </w:rPr>
          <w:t xml:space="preserve"> </w:t>
        </w:r>
        <w:r w:rsidRPr="0055568B">
          <w:rPr>
            <w:rStyle w:val="Hyperlink"/>
            <w:rFonts w:hint="eastAsia"/>
            <w:noProof/>
            <w:rtl/>
          </w:rPr>
          <w:t>در</w:t>
        </w:r>
        <w:r w:rsidRPr="0055568B">
          <w:rPr>
            <w:rStyle w:val="Hyperlink"/>
            <w:noProof/>
            <w:rtl/>
          </w:rPr>
          <w:t xml:space="preserve"> </w:t>
        </w:r>
        <w:r w:rsidRPr="0055568B">
          <w:rPr>
            <w:rStyle w:val="Hyperlink"/>
            <w:rFonts w:hint="eastAsia"/>
            <w:noProof/>
            <w:rtl/>
          </w:rPr>
          <w:t>ا</w:t>
        </w:r>
        <w:r w:rsidRPr="0055568B">
          <w:rPr>
            <w:rStyle w:val="Hyperlink"/>
            <w:rFonts w:hint="cs"/>
            <w:noProof/>
            <w:rtl/>
          </w:rPr>
          <w:t>ی</w:t>
        </w:r>
        <w:r w:rsidRPr="0055568B">
          <w:rPr>
            <w:rStyle w:val="Hyperlink"/>
            <w:rFonts w:hint="eastAsia"/>
            <w:noProof/>
            <w:rtl/>
          </w:rPr>
          <w:t>ن</w:t>
        </w:r>
        <w:r w:rsidRPr="0055568B">
          <w:rPr>
            <w:rStyle w:val="Hyperlink"/>
            <w:noProof/>
            <w:rtl/>
          </w:rPr>
          <w:t xml:space="preserve"> </w:t>
        </w:r>
        <w:r w:rsidRPr="0055568B">
          <w:rPr>
            <w:rStyle w:val="Hyperlink"/>
            <w:rFonts w:hint="eastAsia"/>
            <w:noProof/>
            <w:rtl/>
          </w:rPr>
          <w:t>مقام</w:t>
        </w:r>
        <w:r>
          <w:rPr>
            <w:noProof/>
            <w:webHidden/>
          </w:rPr>
          <w:tab/>
        </w:r>
        <w:r>
          <w:rPr>
            <w:rStyle w:val="Hyperlink"/>
            <w:noProof/>
            <w:rtl/>
          </w:rPr>
          <w:fldChar w:fldCharType="begin"/>
        </w:r>
        <w:r>
          <w:rPr>
            <w:noProof/>
            <w:webHidden/>
          </w:rPr>
          <w:instrText xml:space="preserve"> PAGEREF _Toc431655061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2" w:history="1">
        <w:r w:rsidRPr="0055568B">
          <w:rPr>
            <w:rStyle w:val="Hyperlink"/>
            <w:rFonts w:hint="eastAsia"/>
            <w:noProof/>
            <w:rtl/>
          </w:rPr>
          <w:t>اجوبه</w:t>
        </w:r>
        <w:r w:rsidRPr="0055568B">
          <w:rPr>
            <w:rStyle w:val="Hyperlink"/>
            <w:noProof/>
            <w:rtl/>
          </w:rPr>
          <w:t xml:space="preserve"> </w:t>
        </w:r>
        <w:r w:rsidRPr="0055568B">
          <w:rPr>
            <w:rStyle w:val="Hyperlink"/>
            <w:rFonts w:hint="eastAsia"/>
            <w:noProof/>
            <w:rtl/>
          </w:rPr>
          <w:t>اجمال</w:t>
        </w:r>
        <w:r w:rsidRPr="0055568B">
          <w:rPr>
            <w:rStyle w:val="Hyperlink"/>
            <w:rFonts w:hint="cs"/>
            <w:noProof/>
            <w:rtl/>
          </w:rPr>
          <w:t>ی</w:t>
        </w:r>
        <w:r>
          <w:rPr>
            <w:noProof/>
            <w:webHidden/>
          </w:rPr>
          <w:tab/>
        </w:r>
        <w:r>
          <w:rPr>
            <w:rStyle w:val="Hyperlink"/>
            <w:noProof/>
            <w:rtl/>
          </w:rPr>
          <w:fldChar w:fldCharType="begin"/>
        </w:r>
        <w:r>
          <w:rPr>
            <w:noProof/>
            <w:webHidden/>
          </w:rPr>
          <w:instrText xml:space="preserve"> PAGEREF _Toc431655062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3" w:history="1">
        <w:r w:rsidRPr="0055568B">
          <w:rPr>
            <w:rStyle w:val="Hyperlink"/>
            <w:rFonts w:hint="eastAsia"/>
            <w:noProof/>
            <w:rtl/>
          </w:rPr>
          <w:t>جواب</w:t>
        </w:r>
        <w:r w:rsidRPr="0055568B">
          <w:rPr>
            <w:rStyle w:val="Hyperlink"/>
            <w:noProof/>
            <w:rtl/>
          </w:rPr>
          <w:t xml:space="preserve"> </w:t>
        </w:r>
        <w:r w:rsidRPr="0055568B">
          <w:rPr>
            <w:rStyle w:val="Hyperlink"/>
            <w:rFonts w:hint="eastAsia"/>
            <w:noProof/>
            <w:rtl/>
          </w:rPr>
          <w:t>اول</w:t>
        </w:r>
        <w:r>
          <w:rPr>
            <w:noProof/>
            <w:webHidden/>
          </w:rPr>
          <w:tab/>
        </w:r>
        <w:r>
          <w:rPr>
            <w:rStyle w:val="Hyperlink"/>
            <w:noProof/>
            <w:rtl/>
          </w:rPr>
          <w:fldChar w:fldCharType="begin"/>
        </w:r>
        <w:r>
          <w:rPr>
            <w:noProof/>
            <w:webHidden/>
          </w:rPr>
          <w:instrText xml:space="preserve"> PAGEREF _Toc431655063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4" w:history="1">
        <w:r w:rsidRPr="0055568B">
          <w:rPr>
            <w:rStyle w:val="Hyperlink"/>
            <w:rFonts w:hint="eastAsia"/>
            <w:noProof/>
            <w:rtl/>
          </w:rPr>
          <w:t>پاسخ</w:t>
        </w:r>
        <w:r w:rsidRPr="0055568B">
          <w:rPr>
            <w:rStyle w:val="Hyperlink"/>
            <w:noProof/>
            <w:rtl/>
          </w:rPr>
          <w:t xml:space="preserve"> </w:t>
        </w:r>
        <w:r w:rsidRPr="0055568B">
          <w:rPr>
            <w:rStyle w:val="Hyperlink"/>
            <w:rFonts w:hint="eastAsia"/>
            <w:noProof/>
            <w:rtl/>
          </w:rPr>
          <w:t>دوم</w:t>
        </w:r>
        <w:r>
          <w:rPr>
            <w:noProof/>
            <w:webHidden/>
          </w:rPr>
          <w:tab/>
        </w:r>
        <w:r>
          <w:rPr>
            <w:rStyle w:val="Hyperlink"/>
            <w:noProof/>
            <w:rtl/>
          </w:rPr>
          <w:fldChar w:fldCharType="begin"/>
        </w:r>
        <w:r>
          <w:rPr>
            <w:noProof/>
            <w:webHidden/>
          </w:rPr>
          <w:instrText xml:space="preserve"> PAGEREF _Toc431655064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5" w:history="1">
        <w:r w:rsidRPr="0055568B">
          <w:rPr>
            <w:rStyle w:val="Hyperlink"/>
            <w:rFonts w:hint="eastAsia"/>
            <w:noProof/>
            <w:rtl/>
          </w:rPr>
          <w:t>جمع</w:t>
        </w:r>
        <w:r w:rsidRPr="0055568B">
          <w:rPr>
            <w:rStyle w:val="Hyperlink"/>
            <w:noProof/>
            <w:rtl/>
          </w:rPr>
          <w:t xml:space="preserve"> </w:t>
        </w:r>
        <w:r w:rsidRPr="0055568B">
          <w:rPr>
            <w:rStyle w:val="Hyperlink"/>
            <w:rFonts w:hint="eastAsia"/>
            <w:noProof/>
            <w:rtl/>
          </w:rPr>
          <w:t>بند</w:t>
        </w:r>
        <w:r w:rsidRPr="0055568B">
          <w:rPr>
            <w:rStyle w:val="Hyperlink"/>
            <w:rFonts w:hint="cs"/>
            <w:noProof/>
            <w:rtl/>
          </w:rPr>
          <w:t>ی</w:t>
        </w:r>
        <w:r>
          <w:rPr>
            <w:noProof/>
            <w:webHidden/>
          </w:rPr>
          <w:tab/>
        </w:r>
        <w:r>
          <w:rPr>
            <w:rStyle w:val="Hyperlink"/>
            <w:noProof/>
            <w:rtl/>
          </w:rPr>
          <w:fldChar w:fldCharType="begin"/>
        </w:r>
        <w:r>
          <w:rPr>
            <w:noProof/>
            <w:webHidden/>
          </w:rPr>
          <w:instrText xml:space="preserve"> PAGEREF _Toc431655065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6" w:history="1">
        <w:r w:rsidRPr="0055568B">
          <w:rPr>
            <w:rStyle w:val="Hyperlink"/>
            <w:rFonts w:hint="eastAsia"/>
            <w:noProof/>
            <w:rtl/>
          </w:rPr>
          <w:t>پاسخ</w:t>
        </w:r>
        <w:r w:rsidRPr="0055568B">
          <w:rPr>
            <w:rStyle w:val="Hyperlink"/>
            <w:noProof/>
            <w:rtl/>
          </w:rPr>
          <w:t xml:space="preserve"> </w:t>
        </w:r>
        <w:r w:rsidRPr="0055568B">
          <w:rPr>
            <w:rStyle w:val="Hyperlink"/>
            <w:rFonts w:hint="eastAsia"/>
            <w:noProof/>
            <w:rtl/>
          </w:rPr>
          <w:t>ها</w:t>
        </w:r>
        <w:r w:rsidRPr="0055568B">
          <w:rPr>
            <w:rStyle w:val="Hyperlink"/>
            <w:rFonts w:hint="cs"/>
            <w:noProof/>
            <w:rtl/>
          </w:rPr>
          <w:t>ی</w:t>
        </w:r>
        <w:r w:rsidRPr="0055568B">
          <w:rPr>
            <w:rStyle w:val="Hyperlink"/>
            <w:noProof/>
            <w:rtl/>
          </w:rPr>
          <w:t xml:space="preserve"> </w:t>
        </w:r>
        <w:r w:rsidRPr="0055568B">
          <w:rPr>
            <w:rStyle w:val="Hyperlink"/>
            <w:rFonts w:hint="eastAsia"/>
            <w:noProof/>
            <w:rtl/>
          </w:rPr>
          <w:t>تفص</w:t>
        </w:r>
        <w:r w:rsidRPr="0055568B">
          <w:rPr>
            <w:rStyle w:val="Hyperlink"/>
            <w:rFonts w:hint="cs"/>
            <w:noProof/>
            <w:rtl/>
          </w:rPr>
          <w:t>ی</w:t>
        </w:r>
        <w:r w:rsidRPr="0055568B">
          <w:rPr>
            <w:rStyle w:val="Hyperlink"/>
            <w:rFonts w:hint="eastAsia"/>
            <w:noProof/>
            <w:rtl/>
          </w:rPr>
          <w:t>ل</w:t>
        </w:r>
        <w:r w:rsidRPr="0055568B">
          <w:rPr>
            <w:rStyle w:val="Hyperlink"/>
            <w:rFonts w:hint="cs"/>
            <w:noProof/>
            <w:rtl/>
          </w:rPr>
          <w:t>ی</w:t>
        </w:r>
        <w:r>
          <w:rPr>
            <w:noProof/>
            <w:webHidden/>
          </w:rPr>
          <w:tab/>
        </w:r>
        <w:r>
          <w:rPr>
            <w:rStyle w:val="Hyperlink"/>
            <w:noProof/>
            <w:rtl/>
          </w:rPr>
          <w:fldChar w:fldCharType="begin"/>
        </w:r>
        <w:r>
          <w:rPr>
            <w:noProof/>
            <w:webHidden/>
          </w:rPr>
          <w:instrText xml:space="preserve"> PAGEREF _Toc431655066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7" w:history="1">
        <w:r w:rsidRPr="0055568B">
          <w:rPr>
            <w:rStyle w:val="Hyperlink"/>
            <w:rFonts w:hint="eastAsia"/>
            <w:noProof/>
            <w:rtl/>
          </w:rPr>
          <w:t>پاسخ</w:t>
        </w:r>
        <w:r w:rsidRPr="0055568B">
          <w:rPr>
            <w:rStyle w:val="Hyperlink"/>
            <w:noProof/>
            <w:rtl/>
          </w:rPr>
          <w:t xml:space="preserve"> </w:t>
        </w:r>
        <w:r w:rsidRPr="0055568B">
          <w:rPr>
            <w:rStyle w:val="Hyperlink"/>
            <w:rFonts w:hint="eastAsia"/>
            <w:noProof/>
            <w:rtl/>
          </w:rPr>
          <w:t>اول</w:t>
        </w:r>
        <w:r>
          <w:rPr>
            <w:noProof/>
            <w:webHidden/>
          </w:rPr>
          <w:tab/>
        </w:r>
        <w:r>
          <w:rPr>
            <w:rStyle w:val="Hyperlink"/>
            <w:noProof/>
            <w:rtl/>
          </w:rPr>
          <w:fldChar w:fldCharType="begin"/>
        </w:r>
        <w:r>
          <w:rPr>
            <w:noProof/>
            <w:webHidden/>
          </w:rPr>
          <w:instrText xml:space="preserve"> PAGEREF _Toc431655067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8" w:history="1">
        <w:r w:rsidRPr="0055568B">
          <w:rPr>
            <w:rStyle w:val="Hyperlink"/>
            <w:rFonts w:hint="eastAsia"/>
            <w:noProof/>
            <w:rtl/>
          </w:rPr>
          <w:t>ب</w:t>
        </w:r>
        <w:r w:rsidRPr="0055568B">
          <w:rPr>
            <w:rStyle w:val="Hyperlink"/>
            <w:rFonts w:hint="cs"/>
            <w:noProof/>
            <w:rtl/>
          </w:rPr>
          <w:t>ی</w:t>
        </w:r>
        <w:r w:rsidRPr="0055568B">
          <w:rPr>
            <w:rStyle w:val="Hyperlink"/>
            <w:rFonts w:hint="eastAsia"/>
            <w:noProof/>
            <w:rtl/>
          </w:rPr>
          <w:t>ان</w:t>
        </w:r>
        <w:r w:rsidRPr="0055568B">
          <w:rPr>
            <w:rStyle w:val="Hyperlink"/>
            <w:noProof/>
            <w:rtl/>
          </w:rPr>
          <w:t xml:space="preserve"> </w:t>
        </w:r>
        <w:r w:rsidRPr="0055568B">
          <w:rPr>
            <w:rStyle w:val="Hyperlink"/>
            <w:rFonts w:hint="eastAsia"/>
            <w:noProof/>
            <w:rtl/>
          </w:rPr>
          <w:t>صاحب</w:t>
        </w:r>
        <w:r w:rsidRPr="0055568B">
          <w:rPr>
            <w:rStyle w:val="Hyperlink"/>
            <w:noProof/>
            <w:rtl/>
          </w:rPr>
          <w:t xml:space="preserve"> </w:t>
        </w:r>
        <w:r w:rsidRPr="0055568B">
          <w:rPr>
            <w:rStyle w:val="Hyperlink"/>
            <w:rFonts w:hint="eastAsia"/>
            <w:noProof/>
            <w:rtl/>
          </w:rPr>
          <w:t>کفا</w:t>
        </w:r>
        <w:r w:rsidRPr="0055568B">
          <w:rPr>
            <w:rStyle w:val="Hyperlink"/>
            <w:rFonts w:hint="cs"/>
            <w:noProof/>
            <w:rtl/>
          </w:rPr>
          <w:t>ی</w:t>
        </w:r>
        <w:r w:rsidRPr="0055568B">
          <w:rPr>
            <w:rStyle w:val="Hyperlink"/>
            <w:rFonts w:hint="eastAsia"/>
            <w:noProof/>
            <w:rtl/>
          </w:rPr>
          <w:t>ه</w:t>
        </w:r>
        <w:r w:rsidRPr="0055568B">
          <w:rPr>
            <w:rStyle w:val="Hyperlink"/>
            <w:noProof/>
            <w:rtl/>
          </w:rPr>
          <w:t xml:space="preserve"> </w:t>
        </w:r>
        <w:r w:rsidRPr="0055568B">
          <w:rPr>
            <w:rStyle w:val="Hyperlink"/>
            <w:rFonts w:hint="eastAsia"/>
            <w:noProof/>
            <w:rtl/>
          </w:rPr>
          <w:t>در</w:t>
        </w:r>
        <w:r w:rsidRPr="0055568B">
          <w:rPr>
            <w:rStyle w:val="Hyperlink"/>
            <w:noProof/>
            <w:rtl/>
          </w:rPr>
          <w:t xml:space="preserve"> </w:t>
        </w:r>
        <w:r w:rsidRPr="0055568B">
          <w:rPr>
            <w:rStyle w:val="Hyperlink"/>
            <w:rFonts w:hint="eastAsia"/>
            <w:noProof/>
            <w:rtl/>
          </w:rPr>
          <w:t>قسم</w:t>
        </w:r>
        <w:r w:rsidRPr="0055568B">
          <w:rPr>
            <w:rStyle w:val="Hyperlink"/>
            <w:noProof/>
            <w:rtl/>
          </w:rPr>
          <w:t xml:space="preserve"> </w:t>
        </w:r>
        <w:r w:rsidRPr="0055568B">
          <w:rPr>
            <w:rStyle w:val="Hyperlink"/>
            <w:rFonts w:hint="eastAsia"/>
            <w:noProof/>
            <w:rtl/>
          </w:rPr>
          <w:t>اول</w:t>
        </w:r>
        <w:r>
          <w:rPr>
            <w:noProof/>
            <w:webHidden/>
          </w:rPr>
          <w:tab/>
        </w:r>
        <w:r>
          <w:rPr>
            <w:rStyle w:val="Hyperlink"/>
            <w:noProof/>
            <w:rtl/>
          </w:rPr>
          <w:fldChar w:fldCharType="begin"/>
        </w:r>
        <w:r>
          <w:rPr>
            <w:noProof/>
            <w:webHidden/>
          </w:rPr>
          <w:instrText xml:space="preserve"> PAGEREF _Toc431655068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F731D" w:rsidRDefault="009F731D" w:rsidP="009F731D">
      <w:pPr>
        <w:pStyle w:val="TOC2"/>
        <w:tabs>
          <w:tab w:val="right" w:leader="dot" w:pos="9350"/>
        </w:tabs>
        <w:rPr>
          <w:rFonts w:asciiTheme="minorHAnsi" w:hAnsiTheme="minorHAnsi" w:cstheme="minorBidi"/>
          <w:noProof/>
          <w:szCs w:val="22"/>
        </w:rPr>
      </w:pPr>
      <w:hyperlink w:anchor="_Toc431655069" w:history="1">
        <w:r w:rsidRPr="0055568B">
          <w:rPr>
            <w:rStyle w:val="Hyperlink"/>
            <w:rFonts w:hint="eastAsia"/>
            <w:noProof/>
            <w:rtl/>
          </w:rPr>
          <w:t>جمع</w:t>
        </w:r>
        <w:r w:rsidRPr="0055568B">
          <w:rPr>
            <w:rStyle w:val="Hyperlink"/>
            <w:noProof/>
            <w:rtl/>
          </w:rPr>
          <w:t xml:space="preserve"> </w:t>
        </w:r>
        <w:r w:rsidRPr="0055568B">
          <w:rPr>
            <w:rStyle w:val="Hyperlink"/>
            <w:rFonts w:hint="eastAsia"/>
            <w:noProof/>
            <w:rtl/>
          </w:rPr>
          <w:t>بند</w:t>
        </w:r>
        <w:r w:rsidRPr="0055568B">
          <w:rPr>
            <w:rStyle w:val="Hyperlink"/>
            <w:rFonts w:hint="cs"/>
            <w:noProof/>
            <w:rtl/>
          </w:rPr>
          <w:t>ی</w:t>
        </w:r>
        <w:r>
          <w:rPr>
            <w:noProof/>
            <w:webHidden/>
          </w:rPr>
          <w:tab/>
        </w:r>
        <w:r>
          <w:rPr>
            <w:rStyle w:val="Hyperlink"/>
            <w:noProof/>
            <w:rtl/>
          </w:rPr>
          <w:fldChar w:fldCharType="begin"/>
        </w:r>
        <w:r>
          <w:rPr>
            <w:noProof/>
            <w:webHidden/>
          </w:rPr>
          <w:instrText xml:space="preserve"> PAGEREF _Toc431655069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F731D" w:rsidRDefault="009F731D" w:rsidP="0025629D">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bookmarkStart w:id="0" w:name="_GoBack"/>
      <w:bookmarkEnd w:id="0"/>
    </w:p>
    <w:p w:rsidR="009F731D" w:rsidRDefault="009F731D">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3B4111" w:rsidRDefault="003B4111" w:rsidP="0025629D">
      <w:pPr>
        <w:pStyle w:val="Heading1"/>
        <w:rPr>
          <w:rtl/>
        </w:rPr>
      </w:pPr>
      <w:bookmarkStart w:id="1" w:name="_Toc431655058"/>
      <w:r>
        <w:rPr>
          <w:rFonts w:hint="cs"/>
          <w:rtl/>
        </w:rPr>
        <w:lastRenderedPageBreak/>
        <w:t>دلیل پنجم از مبحث اجتماع</w:t>
      </w:r>
      <w:bookmarkEnd w:id="1"/>
    </w:p>
    <w:p w:rsidR="00283C95" w:rsidRDefault="003B4111"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دلیل پنجم که در کفایه اولین دلیل برای اجتماع امر و نهی است ،توجه به مسأله عبادات مکروهه است ،این دلیل</w:t>
      </w:r>
      <w:r w:rsidR="00020C25">
        <w:rPr>
          <w:rFonts w:ascii="IRBadr" w:hAnsi="IRBadr" w:cs="IRBadr" w:hint="cs"/>
          <w:sz w:val="28"/>
          <w:szCs w:val="28"/>
          <w:rtl/>
          <w:lang w:bidi="fa-IR"/>
        </w:rPr>
        <w:t xml:space="preserve"> را</w:t>
      </w:r>
      <w:r>
        <w:rPr>
          <w:rFonts w:ascii="IRBadr" w:hAnsi="IRBadr" w:cs="IRBadr" w:hint="cs"/>
          <w:sz w:val="28"/>
          <w:szCs w:val="28"/>
          <w:rtl/>
          <w:lang w:bidi="fa-IR"/>
        </w:rPr>
        <w:t xml:space="preserve"> برخی مثل صاحب کفایه در ضمن اصل بحث قرار داده اند ،برخی نیز عبادات مکروهه چون دارای استقلال و اهمیت است در تنبیهات مسأله و مستقلاً آورده اند و برای هر دو وجه </w:t>
      </w:r>
      <w:r w:rsidR="00020C25">
        <w:rPr>
          <w:rFonts w:ascii="IRBadr" w:hAnsi="IRBadr" w:cs="IRBadr" w:hint="cs"/>
          <w:sz w:val="28"/>
          <w:szCs w:val="28"/>
          <w:rtl/>
          <w:lang w:bidi="fa-IR"/>
        </w:rPr>
        <w:t xml:space="preserve"> وجود </w:t>
      </w:r>
      <w:r>
        <w:rPr>
          <w:rFonts w:ascii="IRBadr" w:hAnsi="IRBadr" w:cs="IRBadr" w:hint="cs"/>
          <w:sz w:val="28"/>
          <w:szCs w:val="28"/>
          <w:rtl/>
          <w:lang w:bidi="fa-IR"/>
        </w:rPr>
        <w:t>دارد .</w:t>
      </w:r>
    </w:p>
    <w:p w:rsidR="003B4111" w:rsidRDefault="003B4111" w:rsidP="0025629D">
      <w:pPr>
        <w:bidi/>
        <w:spacing w:line="360" w:lineRule="auto"/>
        <w:jc w:val="both"/>
        <w:rPr>
          <w:rFonts w:ascii="IRBadr" w:hAnsi="IRBadr" w:cs="IRBadr"/>
          <w:sz w:val="28"/>
          <w:szCs w:val="28"/>
          <w:rtl/>
          <w:lang w:bidi="fa-IR"/>
        </w:rPr>
      </w:pPr>
      <w:r>
        <w:rPr>
          <w:rFonts w:ascii="IRBadr" w:hAnsi="IRBadr" w:cs="IRBadr" w:hint="cs"/>
          <w:sz w:val="28"/>
          <w:szCs w:val="28"/>
          <w:rtl/>
          <w:lang w:bidi="fa-IR"/>
        </w:rPr>
        <w:t>از یک جهت این دو دلیل می شود مستمسکی برای ادله مجوزین باشد .و از جهتی در شرع عباداتی مکروهه وجود دارد که در هر صورت چه قائل به امتناع و چه قائل به منع باشیم، نیازمند به تحلیل است که ما طبق مسلک اول جزء ادله مجوزین ذکر می کنیم و کل بحث دارای ارزشی ذاتی است .</w:t>
      </w:r>
    </w:p>
    <w:p w:rsidR="003B4111" w:rsidRDefault="003B4111" w:rsidP="0025629D">
      <w:pPr>
        <w:pStyle w:val="Heading1"/>
        <w:rPr>
          <w:rFonts w:hint="cs"/>
          <w:rtl/>
        </w:rPr>
      </w:pPr>
      <w:bookmarkStart w:id="2" w:name="_Toc431655059"/>
      <w:r>
        <w:rPr>
          <w:rFonts w:hint="cs"/>
          <w:rtl/>
        </w:rPr>
        <w:t>تشریح استدلال مجوزین</w:t>
      </w:r>
      <w:bookmarkEnd w:id="2"/>
    </w:p>
    <w:p w:rsidR="003B4111" w:rsidRDefault="003B4111" w:rsidP="0025629D">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مجوزین بر ممتنعین اشکال می کنند که شما ادعا داری که احکام تکلیفی خمسه متضاد است و یک جا قابل جمع نیستند و مشخصاً در امر و نهی گفتید که این اجتماع ممکن نیست .چراکه در اینجا تقابل واضح تری وجود دارد .بنابر این یکی از پایه های امتناع در مورد واحد است و این پایه قابل دگرگونی است </w:t>
      </w:r>
      <w:r w:rsidR="00020C25">
        <w:rPr>
          <w:rFonts w:ascii="IRBadr" w:hAnsi="IRBadr" w:cs="IRBadr" w:hint="cs"/>
          <w:sz w:val="28"/>
          <w:szCs w:val="28"/>
          <w:rtl/>
          <w:lang w:bidi="fa-IR"/>
        </w:rPr>
        <w:t>و ادل دلیل بر امکان شیء وقوع آن است .</w:t>
      </w:r>
    </w:p>
    <w:p w:rsidR="00020C25" w:rsidRDefault="00020C25" w:rsidP="0025629D">
      <w:pPr>
        <w:pStyle w:val="Heading1"/>
        <w:rPr>
          <w:rFonts w:hint="cs"/>
          <w:rtl/>
        </w:rPr>
      </w:pPr>
      <w:bookmarkStart w:id="3" w:name="_Toc431655060"/>
      <w:r>
        <w:rPr>
          <w:rFonts w:hint="cs"/>
          <w:rtl/>
        </w:rPr>
        <w:t>کیفیت وقوع در این مقام</w:t>
      </w:r>
      <w:bookmarkEnd w:id="3"/>
    </w:p>
    <w:p w:rsidR="00020C25" w:rsidRDefault="00020C25"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آنها بدون نیاز به قرار گرفتن در بحث های تحلیلی طولانی، ادعا بر رخ دادن این اجتماع دارند .مانند صوم یوم عاشورا که هم استحباب و هم کراهت دارد .این دو ،دو حکم  متقابل هستند هرچند به شدت وجوب و حرمت نمی رسد .موارد دیگر مثل وجوب و کراهت است همانند نماز خواندن در حمام .همچنانکه در برخی نوافل کراهت و استحباب وجود دارد .</w:t>
      </w:r>
    </w:p>
    <w:p w:rsidR="00020C25" w:rsidRDefault="00020C25"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مثال دیگر این است که نماز خواندن در مواضع تهمت کراهت دارد که در اینجا کراهت و استحباب یا وجوب تعارض دارند .قاعدتاً این مباحث در قبل از شیخ نیز بوده اما در زمان شیخ و آخوند منقح تر گشته است .</w:t>
      </w:r>
    </w:p>
    <w:p w:rsidR="0054233F" w:rsidRDefault="0054233F" w:rsidP="0025629D">
      <w:pPr>
        <w:pStyle w:val="Heading2"/>
        <w:rPr>
          <w:rtl/>
        </w:rPr>
      </w:pPr>
      <w:bookmarkStart w:id="4" w:name="_Toc431655061"/>
      <w:r>
        <w:rPr>
          <w:rFonts w:hint="cs"/>
          <w:rtl/>
        </w:rPr>
        <w:lastRenderedPageBreak/>
        <w:t>پاسخ ها در این مقام</w:t>
      </w:r>
      <w:bookmarkEnd w:id="4"/>
    </w:p>
    <w:p w:rsidR="00020C25" w:rsidRDefault="00020C25"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به این مسأله دو پاسخ داده شده است ؛</w:t>
      </w:r>
    </w:p>
    <w:p w:rsidR="00020C25" w:rsidRDefault="00020C25" w:rsidP="0025629D">
      <w:pPr>
        <w:pStyle w:val="Heading2"/>
        <w:rPr>
          <w:rFonts w:hint="cs"/>
          <w:rtl/>
        </w:rPr>
      </w:pPr>
      <w:bookmarkStart w:id="5" w:name="_Toc431655062"/>
      <w:r>
        <w:rPr>
          <w:rFonts w:hint="cs"/>
          <w:rtl/>
        </w:rPr>
        <w:t>اجوبه اجمالی</w:t>
      </w:r>
      <w:bookmarkEnd w:id="5"/>
    </w:p>
    <w:p w:rsidR="00020C25" w:rsidRDefault="00020C25" w:rsidP="0025629D">
      <w:pPr>
        <w:pStyle w:val="Heading2"/>
        <w:rPr>
          <w:rFonts w:hint="cs"/>
          <w:rtl/>
        </w:rPr>
      </w:pPr>
      <w:bookmarkStart w:id="6" w:name="_Toc431655063"/>
      <w:r>
        <w:rPr>
          <w:rFonts w:hint="cs"/>
          <w:rtl/>
        </w:rPr>
        <w:t>جواب اول</w:t>
      </w:r>
      <w:bookmarkEnd w:id="6"/>
    </w:p>
    <w:p w:rsidR="00020C25" w:rsidRDefault="00020C25"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اگر بحث های قبلی ما را ببینید آنها دارای پایه های محکم عقلی و استقلالی هستند ،لذا باید موارد ظاهری را باید بر آن اساس توجیه کنید همانند</w:t>
      </w:r>
      <w:r w:rsidR="0025629D" w:rsidRPr="0025629D">
        <w:rPr>
          <w:rFonts w:ascii="IRBadr" w:hAnsi="IRBadr" w:cs="IRBadr" w:hint="cs"/>
          <w:b/>
          <w:bCs/>
          <w:sz w:val="28"/>
          <w:szCs w:val="28"/>
          <w:rtl/>
          <w:lang w:bidi="fa-IR"/>
        </w:rPr>
        <w:t>«</w:t>
      </w:r>
      <w:r w:rsidRPr="0025629D">
        <w:rPr>
          <w:rFonts w:ascii="IRBadr" w:hAnsi="IRBadr" w:cs="IRBadr" w:hint="cs"/>
          <w:b/>
          <w:bCs/>
          <w:sz w:val="28"/>
          <w:szCs w:val="28"/>
          <w:rtl/>
          <w:lang w:bidi="fa-IR"/>
        </w:rPr>
        <w:t xml:space="preserve"> </w:t>
      </w:r>
      <w:r w:rsidR="0025629D" w:rsidRPr="0025629D">
        <w:rPr>
          <w:rFonts w:ascii="IRBadr" w:hAnsi="IRBadr" w:cs="IRBadr" w:hint="cs"/>
          <w:b/>
          <w:bCs/>
          <w:sz w:val="28"/>
          <w:szCs w:val="28"/>
          <w:rtl/>
          <w:lang w:bidi="fa-IR"/>
        </w:rPr>
        <w:t>يَدُ</w:t>
      </w:r>
      <w:r w:rsidR="0025629D" w:rsidRPr="0025629D">
        <w:rPr>
          <w:rFonts w:ascii="IRBadr" w:hAnsi="IRBadr" w:cs="IRBadr"/>
          <w:b/>
          <w:bCs/>
          <w:sz w:val="28"/>
          <w:szCs w:val="28"/>
          <w:rtl/>
          <w:lang w:bidi="fa-IR"/>
        </w:rPr>
        <w:t xml:space="preserve"> </w:t>
      </w:r>
      <w:r w:rsidR="0025629D" w:rsidRPr="0025629D">
        <w:rPr>
          <w:rFonts w:ascii="IRBadr" w:hAnsi="IRBadr" w:cs="IRBadr" w:hint="cs"/>
          <w:b/>
          <w:bCs/>
          <w:sz w:val="28"/>
          <w:szCs w:val="28"/>
          <w:rtl/>
          <w:lang w:bidi="fa-IR"/>
        </w:rPr>
        <w:t>اللَّهِ</w:t>
      </w:r>
      <w:r w:rsidR="0025629D" w:rsidRPr="0025629D">
        <w:rPr>
          <w:rFonts w:ascii="IRBadr" w:hAnsi="IRBadr" w:cs="IRBadr"/>
          <w:b/>
          <w:bCs/>
          <w:sz w:val="28"/>
          <w:szCs w:val="28"/>
          <w:rtl/>
          <w:lang w:bidi="fa-IR"/>
        </w:rPr>
        <w:t xml:space="preserve"> </w:t>
      </w:r>
      <w:r w:rsidR="0025629D" w:rsidRPr="0025629D">
        <w:rPr>
          <w:rFonts w:ascii="IRBadr" w:hAnsi="IRBadr" w:cs="IRBadr" w:hint="cs"/>
          <w:b/>
          <w:bCs/>
          <w:sz w:val="28"/>
          <w:szCs w:val="28"/>
          <w:rtl/>
          <w:lang w:bidi="fa-IR"/>
        </w:rPr>
        <w:t>فَوْقَ</w:t>
      </w:r>
      <w:r w:rsidR="0025629D" w:rsidRPr="0025629D">
        <w:rPr>
          <w:rFonts w:ascii="IRBadr" w:hAnsi="IRBadr" w:cs="IRBadr"/>
          <w:b/>
          <w:bCs/>
          <w:sz w:val="28"/>
          <w:szCs w:val="28"/>
          <w:rtl/>
          <w:lang w:bidi="fa-IR"/>
        </w:rPr>
        <w:t xml:space="preserve"> </w:t>
      </w:r>
      <w:r w:rsidR="0025629D" w:rsidRPr="0025629D">
        <w:rPr>
          <w:rFonts w:ascii="IRBadr" w:hAnsi="IRBadr" w:cs="IRBadr" w:hint="cs"/>
          <w:b/>
          <w:bCs/>
          <w:sz w:val="28"/>
          <w:szCs w:val="28"/>
          <w:rtl/>
          <w:lang w:bidi="fa-IR"/>
        </w:rPr>
        <w:t>أَيْدِيهِم»</w:t>
      </w:r>
      <w:r w:rsidR="0025629D">
        <w:rPr>
          <w:rFonts w:ascii="IRBadr" w:hAnsi="IRBadr" w:cs="IRBadr" w:hint="cs"/>
          <w:sz w:val="28"/>
          <w:szCs w:val="28"/>
          <w:rtl/>
          <w:lang w:bidi="fa-IR"/>
        </w:rPr>
        <w:t xml:space="preserve"> </w:t>
      </w:r>
      <w:r w:rsidR="0025629D">
        <w:rPr>
          <w:rStyle w:val="FootnoteReference"/>
          <w:rFonts w:ascii="IRBadr" w:hAnsi="IRBadr" w:cs="IRBadr"/>
          <w:sz w:val="28"/>
          <w:szCs w:val="28"/>
          <w:rtl/>
          <w:lang w:bidi="fa-IR"/>
        </w:rPr>
        <w:footnoteReference w:id="1"/>
      </w:r>
      <w:r>
        <w:rPr>
          <w:rFonts w:ascii="IRBadr" w:hAnsi="IRBadr" w:cs="IRBadr" w:hint="cs"/>
          <w:sz w:val="28"/>
          <w:szCs w:val="28"/>
          <w:rtl/>
          <w:lang w:bidi="fa-IR"/>
        </w:rPr>
        <w:t>لذا اشکالات بیان شده با استدلالات محکم بیان شده قابل توجیه است .</w:t>
      </w:r>
      <w:r w:rsidR="0054233F">
        <w:rPr>
          <w:rFonts w:ascii="IRBadr" w:hAnsi="IRBadr" w:cs="IRBadr" w:hint="cs"/>
          <w:sz w:val="28"/>
          <w:szCs w:val="28"/>
          <w:rtl/>
          <w:lang w:bidi="fa-IR"/>
        </w:rPr>
        <w:t>یعنی امتناع انچنان دارای قوت است که وقوع را باید مورد شک قرار دهید .</w:t>
      </w:r>
    </w:p>
    <w:p w:rsidR="0054233F" w:rsidRDefault="0054233F" w:rsidP="0025629D">
      <w:pPr>
        <w:pStyle w:val="Heading2"/>
        <w:rPr>
          <w:rFonts w:hint="cs"/>
          <w:rtl/>
        </w:rPr>
      </w:pPr>
      <w:bookmarkStart w:id="7" w:name="_Toc431655064"/>
      <w:r>
        <w:rPr>
          <w:rFonts w:hint="cs"/>
          <w:rtl/>
        </w:rPr>
        <w:t>پاسخ دوم</w:t>
      </w:r>
      <w:bookmarkEnd w:id="7"/>
    </w:p>
    <w:p w:rsidR="0054233F" w:rsidRDefault="0054233F"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این اشکال بین ما و شما مشترک الورود است ،یعنی هم به امتناعیون و هم مجوزین وارد است .چراکه در اجتماع امر و نهی دو عنوان عام من وجه در دو دلیل مستقل متعلق قرار گرفته اند که این دو عنوان در یک معنون جمع شده اند اما مثال های زده شده مثل صوم یوم عاشورا اینگونه نیست .لذا در اینجا امر و نهی روی یک عنوان مطلق و مقید جمع شده اند.</w:t>
      </w:r>
    </w:p>
    <w:p w:rsidR="0054233F" w:rsidRDefault="0054233F" w:rsidP="0025629D">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 یعنی هسته مرکزی هر دو صوم است .همچنانکه این اشکال در امثله دیگر نیز وجود دارد .در حالی که مورد بحث تعدد عنوان و جمع شدن دو مورد بر حسب اتفاق است .لذا ما و شما در موارد عام و خاص اتفاق نظر داریم ، اشکال مشترک الورود است و باید به دنبال راهی برای حل کردن این مسأله باشیم .</w:t>
      </w:r>
    </w:p>
    <w:p w:rsidR="0054233F" w:rsidRDefault="0054233F" w:rsidP="0025629D">
      <w:pPr>
        <w:pStyle w:val="Heading2"/>
        <w:rPr>
          <w:rFonts w:hint="cs"/>
          <w:rtl/>
        </w:rPr>
      </w:pPr>
      <w:bookmarkStart w:id="8" w:name="_Toc431655065"/>
      <w:r>
        <w:rPr>
          <w:rFonts w:hint="cs"/>
          <w:rtl/>
        </w:rPr>
        <w:t>جمع بندی</w:t>
      </w:r>
      <w:bookmarkEnd w:id="8"/>
    </w:p>
    <w:p w:rsidR="0054233F" w:rsidRDefault="0054233F"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این دو پاسخ اجمالی بود که در معمول کلمات ذکر شده است .</w:t>
      </w:r>
    </w:p>
    <w:p w:rsidR="0054233F" w:rsidRDefault="0054233F" w:rsidP="0025629D">
      <w:pPr>
        <w:pStyle w:val="Heading2"/>
        <w:rPr>
          <w:rFonts w:hint="cs"/>
          <w:rtl/>
        </w:rPr>
      </w:pPr>
      <w:bookmarkStart w:id="9" w:name="_Toc431655066"/>
      <w:r>
        <w:rPr>
          <w:rFonts w:hint="cs"/>
          <w:rtl/>
        </w:rPr>
        <w:lastRenderedPageBreak/>
        <w:t>پاسخ های تفصیلی</w:t>
      </w:r>
      <w:bookmarkEnd w:id="9"/>
      <w:r>
        <w:rPr>
          <w:rFonts w:hint="cs"/>
          <w:rtl/>
        </w:rPr>
        <w:t xml:space="preserve"> </w:t>
      </w:r>
    </w:p>
    <w:p w:rsidR="0054233F" w:rsidRDefault="0054233F" w:rsidP="0025629D">
      <w:pPr>
        <w:pStyle w:val="Heading2"/>
        <w:rPr>
          <w:rFonts w:hint="cs"/>
          <w:rtl/>
        </w:rPr>
      </w:pPr>
      <w:bookmarkStart w:id="10" w:name="_Toc431655067"/>
      <w:r>
        <w:rPr>
          <w:rFonts w:hint="cs"/>
          <w:rtl/>
        </w:rPr>
        <w:t>پاسخ اول</w:t>
      </w:r>
      <w:bookmarkEnd w:id="10"/>
    </w:p>
    <w:p w:rsidR="0054233F" w:rsidRDefault="0054233F" w:rsidP="0025629D">
      <w:pPr>
        <w:bidi/>
        <w:spacing w:line="360" w:lineRule="auto"/>
        <w:jc w:val="both"/>
        <w:rPr>
          <w:rFonts w:ascii="IRBadr" w:hAnsi="IRBadr" w:cs="IRBadr"/>
          <w:sz w:val="28"/>
          <w:szCs w:val="28"/>
          <w:rtl/>
          <w:lang w:bidi="fa-IR"/>
        </w:rPr>
      </w:pPr>
      <w:r>
        <w:rPr>
          <w:rFonts w:ascii="IRBadr" w:hAnsi="IRBadr" w:cs="IRBadr" w:hint="cs"/>
          <w:sz w:val="28"/>
          <w:szCs w:val="28"/>
          <w:rtl/>
          <w:lang w:bidi="fa-IR"/>
        </w:rPr>
        <w:t>ایشان (مرحوم آخوند) اقسام را در امثله بیان شده به نحو مستقل مورد بررسی قرار می دهد ،مثلاً در صوم روز عاشورا ،هر روز دارای خطابی به خصوص است و برای آن بدلی وجود ندارد .قسم دوم موردی است که نهی به عبادتی تعلق گرفته</w:t>
      </w:r>
      <w:r w:rsidR="00CE36EB">
        <w:rPr>
          <w:rFonts w:ascii="IRBadr" w:hAnsi="IRBadr" w:cs="IRBadr" w:hint="cs"/>
          <w:sz w:val="28"/>
          <w:szCs w:val="28"/>
          <w:rtl/>
          <w:lang w:bidi="fa-IR"/>
        </w:rPr>
        <w:t xml:space="preserve"> </w:t>
      </w:r>
      <w:r>
        <w:rPr>
          <w:rFonts w:ascii="IRBadr" w:hAnsi="IRBadr" w:cs="IRBadr" w:hint="cs"/>
          <w:sz w:val="28"/>
          <w:szCs w:val="28"/>
          <w:rtl/>
          <w:lang w:bidi="fa-IR"/>
        </w:rPr>
        <w:t xml:space="preserve">است که دارای بدل است مانند صلات در حمام که مصداقی از کلی </w:t>
      </w:r>
      <w:r w:rsidR="00D558F2" w:rsidRPr="00D558F2">
        <w:rPr>
          <w:rFonts w:ascii="IRBadr" w:hAnsi="IRBadr" w:cs="IRBadr"/>
          <w:b/>
          <w:bCs/>
          <w:sz w:val="28"/>
          <w:szCs w:val="28"/>
          <w:rtl/>
          <w:lang w:bidi="fa-IR"/>
        </w:rPr>
        <w:t>«</w:t>
      </w:r>
      <w:r w:rsidR="00D558F2" w:rsidRPr="00D558F2">
        <w:rPr>
          <w:rFonts w:ascii="IRBadr" w:hAnsi="IRBadr" w:cs="IRBadr" w:hint="cs"/>
          <w:b/>
          <w:bCs/>
          <w:sz w:val="28"/>
          <w:szCs w:val="28"/>
          <w:rtl/>
          <w:lang w:bidi="fa-IR"/>
        </w:rPr>
        <w:t>أَقِمِ</w:t>
      </w:r>
      <w:r w:rsidR="00D558F2" w:rsidRPr="00D558F2">
        <w:rPr>
          <w:rFonts w:ascii="IRBadr" w:hAnsi="IRBadr" w:cs="IRBadr"/>
          <w:b/>
          <w:bCs/>
          <w:sz w:val="28"/>
          <w:szCs w:val="28"/>
          <w:rtl/>
          <w:lang w:bidi="fa-IR"/>
        </w:rPr>
        <w:t xml:space="preserve"> </w:t>
      </w:r>
      <w:r w:rsidR="00D558F2" w:rsidRPr="00D558F2">
        <w:rPr>
          <w:rFonts w:ascii="IRBadr" w:hAnsi="IRBadr" w:cs="IRBadr" w:hint="cs"/>
          <w:b/>
          <w:bCs/>
          <w:sz w:val="28"/>
          <w:szCs w:val="28"/>
          <w:rtl/>
          <w:lang w:bidi="fa-IR"/>
        </w:rPr>
        <w:t>الصَّلاةَ</w:t>
      </w:r>
      <w:r w:rsidR="00D558F2" w:rsidRPr="00D558F2">
        <w:rPr>
          <w:rFonts w:ascii="IRBadr" w:hAnsi="IRBadr" w:cs="IRBadr"/>
          <w:b/>
          <w:bCs/>
          <w:sz w:val="28"/>
          <w:szCs w:val="28"/>
          <w:rtl/>
          <w:lang w:bidi="fa-IR"/>
        </w:rPr>
        <w:t xml:space="preserve"> </w:t>
      </w:r>
      <w:r w:rsidR="00D558F2" w:rsidRPr="00D558F2">
        <w:rPr>
          <w:rFonts w:ascii="IRBadr" w:hAnsi="IRBadr" w:cs="IRBadr" w:hint="cs"/>
          <w:b/>
          <w:bCs/>
          <w:sz w:val="28"/>
          <w:szCs w:val="28"/>
          <w:rtl/>
          <w:lang w:bidi="fa-IR"/>
        </w:rPr>
        <w:t>لِدُلُوكِ</w:t>
      </w:r>
      <w:r w:rsidR="00D558F2" w:rsidRPr="00D558F2">
        <w:rPr>
          <w:rFonts w:ascii="IRBadr" w:hAnsi="IRBadr" w:cs="IRBadr"/>
          <w:b/>
          <w:bCs/>
          <w:sz w:val="28"/>
          <w:szCs w:val="28"/>
          <w:rtl/>
          <w:lang w:bidi="fa-IR"/>
        </w:rPr>
        <w:t xml:space="preserve"> </w:t>
      </w:r>
      <w:r w:rsidR="00D558F2" w:rsidRPr="00D558F2">
        <w:rPr>
          <w:rFonts w:ascii="IRBadr" w:hAnsi="IRBadr" w:cs="IRBadr" w:hint="cs"/>
          <w:b/>
          <w:bCs/>
          <w:sz w:val="28"/>
          <w:szCs w:val="28"/>
          <w:rtl/>
          <w:lang w:bidi="fa-IR"/>
        </w:rPr>
        <w:t>الشَّمْسِ</w:t>
      </w:r>
      <w:r w:rsidR="00D558F2" w:rsidRPr="00D558F2">
        <w:rPr>
          <w:rFonts w:ascii="IRBadr" w:hAnsi="IRBadr" w:cs="IRBadr"/>
          <w:b/>
          <w:bCs/>
          <w:sz w:val="28"/>
          <w:szCs w:val="28"/>
          <w:rtl/>
          <w:lang w:bidi="fa-IR"/>
        </w:rPr>
        <w:t xml:space="preserve"> </w:t>
      </w:r>
      <w:r w:rsidR="00D558F2" w:rsidRPr="00D558F2">
        <w:rPr>
          <w:rFonts w:ascii="IRBadr" w:hAnsi="IRBadr" w:cs="IRBadr" w:hint="cs"/>
          <w:b/>
          <w:bCs/>
          <w:sz w:val="28"/>
          <w:szCs w:val="28"/>
          <w:rtl/>
          <w:lang w:bidi="fa-IR"/>
        </w:rPr>
        <w:t>إِلى‏</w:t>
      </w:r>
      <w:r w:rsidR="00D558F2" w:rsidRPr="00D558F2">
        <w:rPr>
          <w:rFonts w:ascii="IRBadr" w:hAnsi="IRBadr" w:cs="IRBadr"/>
          <w:b/>
          <w:bCs/>
          <w:sz w:val="28"/>
          <w:szCs w:val="28"/>
          <w:rtl/>
          <w:lang w:bidi="fa-IR"/>
        </w:rPr>
        <w:t xml:space="preserve"> </w:t>
      </w:r>
      <w:r w:rsidR="00D558F2" w:rsidRPr="00D558F2">
        <w:rPr>
          <w:rFonts w:ascii="IRBadr" w:hAnsi="IRBadr" w:cs="IRBadr" w:hint="cs"/>
          <w:b/>
          <w:bCs/>
          <w:sz w:val="28"/>
          <w:szCs w:val="28"/>
          <w:rtl/>
          <w:lang w:bidi="fa-IR"/>
        </w:rPr>
        <w:t>غَسَقِ</w:t>
      </w:r>
      <w:r w:rsidR="00D558F2" w:rsidRPr="00D558F2">
        <w:rPr>
          <w:rFonts w:ascii="IRBadr" w:hAnsi="IRBadr" w:cs="IRBadr"/>
          <w:b/>
          <w:bCs/>
          <w:sz w:val="28"/>
          <w:szCs w:val="28"/>
          <w:rtl/>
          <w:lang w:bidi="fa-IR"/>
        </w:rPr>
        <w:t xml:space="preserve"> </w:t>
      </w:r>
      <w:r w:rsidR="00D558F2" w:rsidRPr="00D558F2">
        <w:rPr>
          <w:rFonts w:ascii="IRBadr" w:hAnsi="IRBadr" w:cs="IRBadr" w:hint="cs"/>
          <w:b/>
          <w:bCs/>
          <w:sz w:val="28"/>
          <w:szCs w:val="28"/>
          <w:rtl/>
          <w:lang w:bidi="fa-IR"/>
        </w:rPr>
        <w:t>اللَّيْلِ</w:t>
      </w:r>
      <w:r w:rsidR="00D558F2" w:rsidRPr="00D558F2">
        <w:rPr>
          <w:rFonts w:ascii="IRBadr" w:hAnsi="IRBadr" w:cs="IRBadr" w:hint="eastAsia"/>
          <w:b/>
          <w:bCs/>
          <w:sz w:val="28"/>
          <w:szCs w:val="28"/>
          <w:rtl/>
          <w:lang w:bidi="fa-IR"/>
        </w:rPr>
        <w:t>»</w:t>
      </w:r>
      <w:r w:rsidR="00D558F2" w:rsidRPr="00D558F2">
        <w:rPr>
          <w:rStyle w:val="FootnoteReference"/>
          <w:rFonts w:ascii="IRBadr" w:hAnsi="IRBadr" w:cs="IRBadr"/>
          <w:b/>
          <w:bCs/>
          <w:sz w:val="28"/>
          <w:szCs w:val="28"/>
          <w:rtl/>
          <w:lang w:bidi="fa-IR"/>
        </w:rPr>
        <w:footnoteReference w:id="2"/>
      </w:r>
      <w:r>
        <w:rPr>
          <w:rFonts w:ascii="IRBadr" w:hAnsi="IRBadr" w:cs="IRBadr" w:hint="cs"/>
          <w:sz w:val="28"/>
          <w:szCs w:val="28"/>
          <w:rtl/>
          <w:lang w:bidi="fa-IR"/>
        </w:rPr>
        <w:t>است .</w:t>
      </w:r>
    </w:p>
    <w:p w:rsidR="00CE36EB" w:rsidRDefault="00CE36EB" w:rsidP="0025629D">
      <w:pPr>
        <w:bidi/>
        <w:spacing w:line="360" w:lineRule="auto"/>
        <w:jc w:val="both"/>
        <w:rPr>
          <w:rFonts w:ascii="IRBadr" w:hAnsi="IRBadr" w:cs="IRBadr"/>
          <w:sz w:val="28"/>
          <w:szCs w:val="28"/>
          <w:rtl/>
          <w:lang w:bidi="fa-IR"/>
        </w:rPr>
      </w:pPr>
      <w:r>
        <w:rPr>
          <w:rFonts w:ascii="IRBadr" w:hAnsi="IRBadr" w:cs="IRBadr" w:hint="cs"/>
          <w:sz w:val="28"/>
          <w:szCs w:val="28"/>
          <w:rtl/>
          <w:lang w:bidi="fa-IR"/>
        </w:rPr>
        <w:t>در این دو قسم نهی به خود عبادت تعلق گرفته برخلاف قسم سوم که نهی به ذات عبادت تعلق نگرفته بلکه به موردی تعلق گرفته است که همراه با آن عنوان است همانند نماز در مواضع تهمت .</w:t>
      </w:r>
    </w:p>
    <w:p w:rsidR="00CE36EB" w:rsidRDefault="00CE36EB" w:rsidP="0025629D">
      <w:pPr>
        <w:pStyle w:val="Heading2"/>
        <w:rPr>
          <w:rtl/>
        </w:rPr>
      </w:pPr>
      <w:bookmarkStart w:id="11" w:name="_Toc431655068"/>
      <w:r>
        <w:rPr>
          <w:rFonts w:hint="cs"/>
          <w:rtl/>
        </w:rPr>
        <w:t>بیان صاحب کفایه در قسم اول</w:t>
      </w:r>
      <w:bookmarkEnd w:id="11"/>
    </w:p>
    <w:p w:rsidR="00CE36EB" w:rsidRDefault="00CE36EB" w:rsidP="0025629D">
      <w:pPr>
        <w:bidi/>
        <w:spacing w:line="360" w:lineRule="auto"/>
        <w:jc w:val="both"/>
        <w:rPr>
          <w:rFonts w:ascii="IRBadr" w:hAnsi="IRBadr" w:cs="IRBadr"/>
          <w:sz w:val="28"/>
          <w:szCs w:val="28"/>
          <w:rtl/>
          <w:lang w:bidi="fa-IR"/>
        </w:rPr>
      </w:pPr>
      <w:r>
        <w:rPr>
          <w:rFonts w:ascii="IRBadr" w:hAnsi="IRBadr" w:cs="IRBadr" w:hint="cs"/>
          <w:sz w:val="28"/>
          <w:szCs w:val="28"/>
          <w:rtl/>
          <w:lang w:bidi="fa-IR"/>
        </w:rPr>
        <w:t>در قسم اول صاحب کفایه می فرماید کراهت در اینجا از مقوله کراهت متعارف در حکام خمسه نیست بلکه از مقوله مستحبین مزاحمین است چراکه فعل صوم مستحب است و ترک صوم نیز بر اساس مخالفت با بنی امیه مستحب است .این از مواردی است که در آن فعل و ترک مستحب است و موطن تخییر است .</w:t>
      </w:r>
    </w:p>
    <w:p w:rsidR="00412479" w:rsidRDefault="00412479" w:rsidP="0025629D">
      <w:pPr>
        <w:pStyle w:val="Heading2"/>
        <w:rPr>
          <w:rtl/>
        </w:rPr>
      </w:pPr>
      <w:bookmarkStart w:id="12" w:name="_Toc431655069"/>
      <w:r>
        <w:rPr>
          <w:rFonts w:hint="cs"/>
          <w:rtl/>
        </w:rPr>
        <w:t>جمع بندی</w:t>
      </w:r>
      <w:bookmarkEnd w:id="12"/>
    </w:p>
    <w:p w:rsidR="00CE36EB" w:rsidRDefault="00CE36EB" w:rsidP="0025629D">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لذا در فعل و در ترک مصلحتی مستقل وجود دارد و در اینجا امر و نهی در مورد واحد با یکدیگر اجتماع ننموده اند که البته در اینجا یک طرف ترجیح پیدا می کند .</w:t>
      </w:r>
    </w:p>
    <w:p w:rsidR="00CE36EB" w:rsidRDefault="00CE36EB" w:rsidP="0025629D">
      <w:pPr>
        <w:bidi/>
        <w:spacing w:line="360" w:lineRule="auto"/>
        <w:jc w:val="both"/>
        <w:rPr>
          <w:rFonts w:ascii="IRBadr" w:hAnsi="IRBadr" w:cs="IRBadr"/>
          <w:sz w:val="28"/>
          <w:szCs w:val="28"/>
          <w:rtl/>
          <w:lang w:bidi="fa-IR"/>
        </w:rPr>
      </w:pPr>
      <w:r>
        <w:rPr>
          <w:rFonts w:ascii="IRBadr" w:hAnsi="IRBadr" w:cs="IRBadr" w:hint="cs"/>
          <w:sz w:val="28"/>
          <w:szCs w:val="28"/>
          <w:rtl/>
          <w:lang w:bidi="fa-IR"/>
        </w:rPr>
        <w:t>مرحوم نائینی به این استدلال جواب داده اند ،آقای خویی بدان جواب داده و افرادی نیز به ایشان جواب داده اند .</w:t>
      </w:r>
    </w:p>
    <w:p w:rsidR="0054233F" w:rsidRDefault="0054233F" w:rsidP="0025629D">
      <w:pPr>
        <w:bidi/>
        <w:spacing w:line="360" w:lineRule="auto"/>
        <w:jc w:val="both"/>
        <w:rPr>
          <w:rFonts w:ascii="IRBadr" w:hAnsi="IRBadr" w:cs="IRBadr" w:hint="cs"/>
          <w:sz w:val="28"/>
          <w:szCs w:val="28"/>
          <w:rtl/>
          <w:lang w:bidi="fa-IR"/>
        </w:rPr>
      </w:pPr>
    </w:p>
    <w:p w:rsidR="00020C25" w:rsidRDefault="00020C25" w:rsidP="0025629D">
      <w:pPr>
        <w:bidi/>
        <w:spacing w:line="360" w:lineRule="auto"/>
        <w:jc w:val="both"/>
        <w:rPr>
          <w:rFonts w:ascii="IRBadr" w:hAnsi="IRBadr" w:cs="IRBadr"/>
          <w:sz w:val="28"/>
          <w:szCs w:val="28"/>
          <w:rtl/>
          <w:lang w:bidi="fa-IR"/>
        </w:rPr>
      </w:pPr>
    </w:p>
    <w:p w:rsidR="003B4111" w:rsidRPr="00283C95" w:rsidRDefault="003B4111" w:rsidP="003B4111">
      <w:pPr>
        <w:bidi/>
        <w:spacing w:line="360" w:lineRule="auto"/>
        <w:rPr>
          <w:rFonts w:ascii="IRBadr" w:hAnsi="IRBadr" w:cs="IRBadr"/>
          <w:sz w:val="28"/>
          <w:szCs w:val="28"/>
          <w:rtl/>
          <w:lang w:bidi="fa-IR"/>
        </w:rPr>
      </w:pPr>
    </w:p>
    <w:sectPr w:rsidR="003B4111" w:rsidRPr="00283C95"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FC" w:rsidRDefault="00D104FC" w:rsidP="000D5800">
      <w:pPr>
        <w:spacing w:after="0" w:line="240" w:lineRule="auto"/>
      </w:pPr>
      <w:r>
        <w:separator/>
      </w:r>
    </w:p>
  </w:endnote>
  <w:endnote w:type="continuationSeparator" w:id="0">
    <w:p w:rsidR="00D104FC" w:rsidRDefault="00D104FC"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FC" w:rsidRDefault="00D104FC" w:rsidP="0025629D">
      <w:pPr>
        <w:spacing w:after="0" w:line="240" w:lineRule="auto"/>
        <w:jc w:val="right"/>
      </w:pPr>
      <w:r>
        <w:separator/>
      </w:r>
    </w:p>
  </w:footnote>
  <w:footnote w:type="continuationSeparator" w:id="0">
    <w:p w:rsidR="00D104FC" w:rsidRDefault="00D104FC" w:rsidP="000D5800">
      <w:pPr>
        <w:spacing w:after="0" w:line="240" w:lineRule="auto"/>
      </w:pPr>
      <w:r>
        <w:continuationSeparator/>
      </w:r>
    </w:p>
  </w:footnote>
  <w:footnote w:id="1">
    <w:p w:rsidR="0025629D" w:rsidRPr="0025629D" w:rsidRDefault="0025629D" w:rsidP="0025629D">
      <w:pPr>
        <w:pStyle w:val="FootnoteText"/>
        <w:jc w:val="left"/>
        <w:rPr>
          <w:rFonts w:ascii="IRBadr" w:hAnsi="IRBadr" w:cs="IRBadr"/>
        </w:rPr>
      </w:pPr>
      <w:r>
        <w:rPr>
          <w:rFonts w:ascii="IRBadr" w:hAnsi="IRBadr" w:cs="IRBadr" w:hint="cs"/>
          <w:rtl/>
        </w:rPr>
        <w:t>1ـ</w:t>
      </w:r>
      <w:r w:rsidRPr="0025629D">
        <w:rPr>
          <w:rFonts w:ascii="IRBadr" w:hAnsi="IRBadr" w:cs="IRBadr"/>
          <w:rtl/>
        </w:rPr>
        <w:t xml:space="preserve"> 10/فتح</w:t>
      </w:r>
      <w:r>
        <w:rPr>
          <w:rFonts w:ascii="IRBadr" w:hAnsi="IRBadr" w:cs="IRBadr" w:hint="cs"/>
          <w:rtl/>
        </w:rPr>
        <w:t>.</w:t>
      </w:r>
    </w:p>
  </w:footnote>
  <w:footnote w:id="2">
    <w:p w:rsidR="00D558F2" w:rsidRPr="00D558F2" w:rsidRDefault="00D558F2">
      <w:pPr>
        <w:pStyle w:val="FootnoteText"/>
        <w:rPr>
          <w:rFonts w:ascii="IRBadr" w:hAnsi="IRBadr" w:cs="IRBadr"/>
        </w:rPr>
      </w:pPr>
      <w:r>
        <w:rPr>
          <w:rStyle w:val="FootnoteReference"/>
          <w:rFonts w:ascii="IRBadr" w:hAnsi="IRBadr" w:cs="IRBadr" w:hint="cs"/>
          <w:rtl/>
        </w:rPr>
        <w:t>1</w:t>
      </w:r>
      <w:r>
        <w:rPr>
          <w:rFonts w:ascii="IRBadr" w:hAnsi="IRBadr" w:cs="IRBadr" w:hint="cs"/>
          <w:rtl/>
        </w:rPr>
        <w:t xml:space="preserve">ـ </w:t>
      </w:r>
      <w:r w:rsidRPr="00D558F2">
        <w:rPr>
          <w:rFonts w:ascii="IRBadr" w:hAnsi="IRBadr" w:cs="IRBadr"/>
          <w:rtl/>
        </w:rPr>
        <w:t xml:space="preserve"> 78/ اسراء</w:t>
      </w:r>
      <w:r>
        <w:rPr>
          <w:rFonts w:ascii="IRBadr" w:hAnsi="IRBadr" w:cs="IRBad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283C95">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CAB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9750A">
      <w:rPr>
        <w:rFonts w:ascii="IranNastaliq" w:hAnsi="IranNastaliq" w:cs="IranNastaliq" w:hint="cs"/>
        <w:sz w:val="40"/>
        <w:szCs w:val="40"/>
        <w:rtl/>
        <w:lang w:bidi="fa-IR"/>
      </w:rPr>
      <w:t>45</w:t>
    </w:r>
    <w:r w:rsidR="00283C95">
      <w:rPr>
        <w:rFonts w:ascii="IranNastaliq" w:hAnsi="IranNastaliq" w:cs="IranNastaliq" w:hint="cs"/>
        <w:sz w:val="40"/>
        <w:szCs w:val="40"/>
        <w:rtl/>
        <w:lang w:bidi="fa-IR"/>
      </w:rPr>
      <w:t>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0C25"/>
    <w:rsid w:val="000228A2"/>
    <w:rsid w:val="000324F1"/>
    <w:rsid w:val="00052BA3"/>
    <w:rsid w:val="0006363E"/>
    <w:rsid w:val="00080DFF"/>
    <w:rsid w:val="00085ED5"/>
    <w:rsid w:val="000A1A51"/>
    <w:rsid w:val="000D2D0D"/>
    <w:rsid w:val="000D5800"/>
    <w:rsid w:val="000D7F48"/>
    <w:rsid w:val="000F1897"/>
    <w:rsid w:val="000F7E72"/>
    <w:rsid w:val="00100E93"/>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76A5"/>
    <w:rsid w:val="002417C9"/>
    <w:rsid w:val="002529C5"/>
    <w:rsid w:val="0025629D"/>
    <w:rsid w:val="00270294"/>
    <w:rsid w:val="00283C95"/>
    <w:rsid w:val="002914BD"/>
    <w:rsid w:val="00297263"/>
    <w:rsid w:val="002C291B"/>
    <w:rsid w:val="002C56FD"/>
    <w:rsid w:val="002C7C91"/>
    <w:rsid w:val="002D49E4"/>
    <w:rsid w:val="002E450B"/>
    <w:rsid w:val="002E73F9"/>
    <w:rsid w:val="002F05B9"/>
    <w:rsid w:val="003027A8"/>
    <w:rsid w:val="00303DB6"/>
    <w:rsid w:val="00340BA3"/>
    <w:rsid w:val="00366400"/>
    <w:rsid w:val="00392E9A"/>
    <w:rsid w:val="00396F28"/>
    <w:rsid w:val="0039750A"/>
    <w:rsid w:val="003A1A05"/>
    <w:rsid w:val="003A2654"/>
    <w:rsid w:val="003A7D46"/>
    <w:rsid w:val="003B4111"/>
    <w:rsid w:val="003C06BF"/>
    <w:rsid w:val="003C7899"/>
    <w:rsid w:val="003D2F0A"/>
    <w:rsid w:val="003D4AC6"/>
    <w:rsid w:val="003D563F"/>
    <w:rsid w:val="003E1E58"/>
    <w:rsid w:val="003E4ADF"/>
    <w:rsid w:val="003F604C"/>
    <w:rsid w:val="00405199"/>
    <w:rsid w:val="00410699"/>
    <w:rsid w:val="00412479"/>
    <w:rsid w:val="00415360"/>
    <w:rsid w:val="0044591E"/>
    <w:rsid w:val="004651D2"/>
    <w:rsid w:val="00465D26"/>
    <w:rsid w:val="004679F8"/>
    <w:rsid w:val="004B242A"/>
    <w:rsid w:val="004B337F"/>
    <w:rsid w:val="004F3596"/>
    <w:rsid w:val="0054233F"/>
    <w:rsid w:val="00572680"/>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61C98"/>
    <w:rsid w:val="00963AA3"/>
    <w:rsid w:val="00980643"/>
    <w:rsid w:val="00992D2C"/>
    <w:rsid w:val="009B61C3"/>
    <w:rsid w:val="009C7B4F"/>
    <w:rsid w:val="009E588F"/>
    <w:rsid w:val="009F4EB3"/>
    <w:rsid w:val="009F731D"/>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31426"/>
    <w:rsid w:val="00B33CA7"/>
    <w:rsid w:val="00B63F15"/>
    <w:rsid w:val="00B67C08"/>
    <w:rsid w:val="00B7512E"/>
    <w:rsid w:val="00B85A27"/>
    <w:rsid w:val="00BB5F7E"/>
    <w:rsid w:val="00BB6A1C"/>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6EB"/>
    <w:rsid w:val="00CE3B74"/>
    <w:rsid w:val="00CF42E2"/>
    <w:rsid w:val="00CF7916"/>
    <w:rsid w:val="00D104FC"/>
    <w:rsid w:val="00D158F3"/>
    <w:rsid w:val="00D3665C"/>
    <w:rsid w:val="00D508CC"/>
    <w:rsid w:val="00D50F4B"/>
    <w:rsid w:val="00D558F2"/>
    <w:rsid w:val="00D60547"/>
    <w:rsid w:val="00D66444"/>
    <w:rsid w:val="00D75A0A"/>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A1FB-F5A8-42DB-B0DF-E43A551C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120</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36</cp:revision>
  <dcterms:created xsi:type="dcterms:W3CDTF">2014-11-18T06:47:00Z</dcterms:created>
  <dcterms:modified xsi:type="dcterms:W3CDTF">2015-10-03T13:32:00Z</dcterms:modified>
</cp:coreProperties>
</file>