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41" w:rsidRDefault="00247741" w:rsidP="00247741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77533" w:rsidRPr="0047753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477533" w:rsidRPr="00477533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"1-6"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247741" w:rsidRDefault="00247741" w:rsidP="0024774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1" w:history="1">
        <w:r w:rsidRPr="00A424A3">
          <w:rPr>
            <w:rStyle w:val="Hyperlink"/>
            <w:rFonts w:hint="eastAsia"/>
            <w:noProof/>
            <w:rtl/>
          </w:rPr>
          <w:t>اجتماع</w:t>
        </w:r>
        <w:r w:rsidRPr="00A424A3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امرونهی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2" w:history="1">
        <w:r w:rsidRPr="00A424A3">
          <w:rPr>
            <w:rStyle w:val="Hyperlink"/>
            <w:rFonts w:hint="eastAsia"/>
            <w:noProof/>
            <w:rtl/>
          </w:rPr>
          <w:t>قسم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3" w:history="1">
        <w:r w:rsidRPr="00A424A3">
          <w:rPr>
            <w:rStyle w:val="Hyperlink"/>
            <w:rFonts w:hint="eastAsia"/>
            <w:noProof/>
            <w:rtl/>
          </w:rPr>
          <w:t>مرور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بحث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4" w:history="1">
        <w:r w:rsidRPr="00A424A3">
          <w:rPr>
            <w:rStyle w:val="Hyperlink"/>
            <w:rFonts w:hint="eastAsia"/>
            <w:noProof/>
            <w:rtl/>
          </w:rPr>
          <w:t>ملاحظات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در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استدلال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5" w:history="1">
        <w:r w:rsidRPr="00A424A3">
          <w:rPr>
            <w:rStyle w:val="Hyperlink"/>
            <w:rFonts w:hint="eastAsia"/>
            <w:noProof/>
            <w:rtl/>
          </w:rPr>
          <w:t>ملاحظه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6" w:history="1">
        <w:r w:rsidRPr="00A424A3">
          <w:rPr>
            <w:rStyle w:val="Hyperlink"/>
            <w:rFonts w:hint="eastAsia"/>
            <w:noProof/>
            <w:rtl/>
          </w:rPr>
          <w:t>ملاحظه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7" w:history="1">
        <w:r w:rsidRPr="00A424A3">
          <w:rPr>
            <w:rStyle w:val="Hyperlink"/>
            <w:rFonts w:hint="eastAsia"/>
            <w:noProof/>
            <w:rtl/>
          </w:rPr>
          <w:t>احتمال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8" w:history="1">
        <w:r w:rsidRPr="00A424A3">
          <w:rPr>
            <w:rStyle w:val="Hyperlink"/>
            <w:rFonts w:hint="eastAsia"/>
            <w:noProof/>
            <w:rtl/>
          </w:rPr>
          <w:t>احتمال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59" w:history="1">
        <w:r w:rsidRPr="00A424A3">
          <w:rPr>
            <w:rStyle w:val="Hyperlink"/>
            <w:rFonts w:hint="eastAsia"/>
            <w:noProof/>
            <w:rtl/>
          </w:rPr>
          <w:t>احتمال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_Toc431668459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0" w:history="1">
        <w:r w:rsidRPr="00A424A3">
          <w:rPr>
            <w:rStyle w:val="Hyperlink"/>
            <w:rFonts w:hint="eastAsia"/>
            <w:noProof/>
            <w:rtl/>
          </w:rPr>
          <w:t>احتمال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پنجم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1" w:history="1">
        <w:r w:rsidRPr="00A424A3">
          <w:rPr>
            <w:rStyle w:val="Hyperlink"/>
            <w:rFonts w:hint="eastAsia"/>
            <w:noProof/>
            <w:rtl/>
          </w:rPr>
          <w:t>اتخاذ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2" w:history="1">
        <w:r w:rsidRPr="00A424A3">
          <w:rPr>
            <w:rStyle w:val="Hyperlink"/>
            <w:rFonts w:hint="eastAsia"/>
            <w:noProof/>
            <w:rtl/>
          </w:rPr>
          <w:t>تصو</w:t>
        </w:r>
        <w:r w:rsidRPr="00A424A3">
          <w:rPr>
            <w:rStyle w:val="Hyperlink"/>
            <w:rFonts w:hint="cs"/>
            <w:noProof/>
            <w:rtl/>
          </w:rPr>
          <w:t>ی</w:t>
        </w:r>
        <w:r w:rsidRPr="00A424A3">
          <w:rPr>
            <w:rStyle w:val="Hyperlink"/>
            <w:rFonts w:hint="eastAsia"/>
            <w:noProof/>
            <w:rtl/>
          </w:rPr>
          <w:t>ر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دوم</w:t>
        </w:r>
        <w:r w:rsidRPr="00A424A3">
          <w:rPr>
            <w:rStyle w:val="Hyperlink"/>
            <w:noProof/>
            <w:rtl/>
          </w:rPr>
          <w:t xml:space="preserve">  </w:t>
        </w:r>
        <w:r w:rsidRPr="00A424A3">
          <w:rPr>
            <w:rStyle w:val="Hyperlink"/>
            <w:rFonts w:hint="eastAsia"/>
            <w:noProof/>
            <w:rtl/>
          </w:rPr>
          <w:t>حل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کراهت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3" w:history="1">
        <w:r w:rsidRPr="00A424A3">
          <w:rPr>
            <w:rStyle w:val="Hyperlink"/>
            <w:rFonts w:hint="eastAsia"/>
            <w:noProof/>
            <w:rtl/>
          </w:rPr>
          <w:t>حالت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4" w:history="1">
        <w:r w:rsidRPr="00A424A3">
          <w:rPr>
            <w:rStyle w:val="Hyperlink"/>
            <w:rFonts w:hint="eastAsia"/>
            <w:noProof/>
            <w:rtl/>
          </w:rPr>
          <w:t>حالت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68465" w:history="1">
        <w:r w:rsidRPr="00A424A3">
          <w:rPr>
            <w:rStyle w:val="Hyperlink"/>
            <w:rFonts w:hint="eastAsia"/>
            <w:noProof/>
            <w:rtl/>
          </w:rPr>
          <w:t>تشر</w:t>
        </w:r>
        <w:r w:rsidRPr="00A424A3">
          <w:rPr>
            <w:rStyle w:val="Hyperlink"/>
            <w:rFonts w:hint="cs"/>
            <w:noProof/>
            <w:rtl/>
          </w:rPr>
          <w:t>ی</w:t>
        </w:r>
        <w:r w:rsidRPr="00A424A3">
          <w:rPr>
            <w:rStyle w:val="Hyperlink"/>
            <w:rFonts w:hint="eastAsia"/>
            <w:noProof/>
            <w:rtl/>
          </w:rPr>
          <w:t>ح</w:t>
        </w:r>
        <w:r w:rsidRPr="00A424A3">
          <w:rPr>
            <w:rStyle w:val="Hyperlink"/>
            <w:noProof/>
            <w:rtl/>
          </w:rPr>
          <w:t xml:space="preserve"> </w:t>
        </w:r>
        <w:r w:rsidRPr="00A424A3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_Toc431668465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47741" w:rsidRDefault="00247741" w:rsidP="0024774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47741" w:rsidRDefault="00247741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24977" w:rsidRDefault="00124977" w:rsidP="00854CED">
      <w:pPr>
        <w:pStyle w:val="Heading1"/>
        <w:rPr>
          <w:rFonts w:hint="cs"/>
          <w:rtl/>
        </w:rPr>
      </w:pPr>
      <w:bookmarkStart w:id="1" w:name="_Toc431668451"/>
      <w:r>
        <w:rPr>
          <w:rFonts w:hint="cs"/>
          <w:rtl/>
        </w:rPr>
        <w:lastRenderedPageBreak/>
        <w:t xml:space="preserve">اجتماع </w:t>
      </w:r>
      <w:r w:rsidR="00247741">
        <w:rPr>
          <w:rFonts w:hint="cs"/>
          <w:rtl/>
        </w:rPr>
        <w:t>امرونهی</w:t>
      </w:r>
      <w:bookmarkEnd w:id="1"/>
    </w:p>
    <w:p w:rsidR="00124977" w:rsidRDefault="00124977" w:rsidP="00854CED">
      <w:pPr>
        <w:pStyle w:val="Heading1"/>
        <w:rPr>
          <w:rFonts w:hint="cs"/>
          <w:rtl/>
        </w:rPr>
      </w:pPr>
      <w:bookmarkStart w:id="2" w:name="_Toc431668452"/>
      <w:r>
        <w:rPr>
          <w:rFonts w:hint="cs"/>
          <w:rtl/>
        </w:rPr>
        <w:t>قسم اول</w:t>
      </w:r>
      <w:bookmarkEnd w:id="2"/>
    </w:p>
    <w:p w:rsidR="00124977" w:rsidRDefault="00124977" w:rsidP="00854CED">
      <w:pPr>
        <w:pStyle w:val="Heading1"/>
        <w:rPr>
          <w:rtl/>
        </w:rPr>
      </w:pPr>
      <w:bookmarkStart w:id="3" w:name="_Toc431668453"/>
      <w:r>
        <w:rPr>
          <w:rFonts w:hint="cs"/>
          <w:rtl/>
        </w:rPr>
        <w:t>مرور بحث گذشته</w:t>
      </w:r>
      <w:bookmarkEnd w:id="3"/>
    </w:p>
    <w:p w:rsidR="003E279C" w:rsidRDefault="003E279C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گرچه در ضمن عبادات مکروهه مطرح شد اما این بحث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فی‌نفسه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ارزش مستقل دارد.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24977">
        <w:rPr>
          <w:rFonts w:ascii="IRBadr" w:hAnsi="IRBadr" w:cs="IRBadr" w:hint="cs"/>
          <w:sz w:val="28"/>
          <w:szCs w:val="28"/>
          <w:rtl/>
          <w:lang w:bidi="fa-IR"/>
        </w:rPr>
        <w:t xml:space="preserve"> اینجا بیان شد که امری که دارای منقصت است،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نم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124977">
        <w:rPr>
          <w:rFonts w:ascii="IRBadr" w:hAnsi="IRBadr" w:cs="IRBadr" w:hint="cs"/>
          <w:sz w:val="28"/>
          <w:szCs w:val="28"/>
          <w:rtl/>
          <w:lang w:bidi="fa-IR"/>
        </w:rPr>
        <w:t xml:space="preserve"> مقرب الی الله باشد که ظاهر عبادات مکروهه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124977">
        <w:rPr>
          <w:rFonts w:ascii="IRBadr" w:hAnsi="IRBadr" w:cs="IRBadr" w:hint="cs"/>
          <w:sz w:val="28"/>
          <w:szCs w:val="28"/>
          <w:rtl/>
          <w:lang w:bidi="fa-IR"/>
        </w:rPr>
        <w:t xml:space="preserve"> است و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124977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مواردی است که به نحو ذاتی به آن نهی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124977">
        <w:rPr>
          <w:rFonts w:ascii="IRBadr" w:hAnsi="IRBadr" w:cs="IRBadr" w:hint="cs"/>
          <w:sz w:val="28"/>
          <w:szCs w:val="28"/>
          <w:rtl/>
          <w:lang w:bidi="fa-IR"/>
        </w:rPr>
        <w:t xml:space="preserve"> است و بدلی ندارد.</w:t>
      </w:r>
    </w:p>
    <w:p w:rsidR="00124977" w:rsidRDefault="00124977" w:rsidP="004C030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اولین نظریه در اینجا از آن مرحوم آخوند بود که مستحبین متزاحمین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بازمی‌گرداند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ظاهر لاتصم تصرف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متناسب با این بحث گردد. در اینجا اشکال و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ر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دیا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مطرح شد و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به‌تبع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پاسخ‌ها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ذکر گردید.</w:t>
      </w:r>
    </w:p>
    <w:p w:rsidR="00124977" w:rsidRDefault="00124977" w:rsidP="00854CED">
      <w:pPr>
        <w:pStyle w:val="Heading2"/>
        <w:rPr>
          <w:rtl/>
        </w:rPr>
      </w:pPr>
      <w:bookmarkStart w:id="4" w:name="_Toc431668454"/>
      <w:r>
        <w:rPr>
          <w:rFonts w:hint="cs"/>
          <w:rtl/>
        </w:rPr>
        <w:t>ملاحظات در استدلال فوق</w:t>
      </w:r>
      <w:bookmarkEnd w:id="4"/>
    </w:p>
    <w:p w:rsidR="00124977" w:rsidRDefault="00124977" w:rsidP="00854CED">
      <w:pPr>
        <w:pStyle w:val="Heading2"/>
        <w:rPr>
          <w:rFonts w:hint="cs"/>
          <w:rtl/>
        </w:rPr>
      </w:pPr>
      <w:bookmarkStart w:id="5" w:name="_Toc431668455"/>
      <w:r>
        <w:rPr>
          <w:rFonts w:hint="cs"/>
          <w:rtl/>
        </w:rPr>
        <w:t>ملاحظه اول</w:t>
      </w:r>
      <w:bookmarkEnd w:id="5"/>
    </w:p>
    <w:p w:rsidR="00124977" w:rsidRDefault="00124977" w:rsidP="00854CE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ملاحظه اولی که در جلسه گذشته مطرح شد،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در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امثله‌ای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کبرای صحیح موجود در این استدلال را رد نمود.</w:t>
      </w:r>
    </w:p>
    <w:p w:rsidR="00124977" w:rsidRDefault="00124977" w:rsidP="00854CED">
      <w:pPr>
        <w:pStyle w:val="Heading2"/>
        <w:rPr>
          <w:rtl/>
        </w:rPr>
      </w:pPr>
      <w:bookmarkStart w:id="6" w:name="_Toc431668456"/>
      <w:r>
        <w:rPr>
          <w:rFonts w:hint="cs"/>
          <w:rtl/>
        </w:rPr>
        <w:t>ملاحظه دوم</w:t>
      </w:r>
      <w:bookmarkEnd w:id="6"/>
    </w:p>
    <w:p w:rsidR="00124977" w:rsidRDefault="00124977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کسی به لحاظ صغروی ادعا کند که لاتصم در اینجا به نحو ارشاد به بطلان است که این امری بعید نیست.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صوم روز عاشورا روایات متعددی است و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دلالی و سندی دارای اعتبار هستند.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بع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نیست کسی در قبال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ادعا کند که نهی تحریمی را افاده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که از بحث خارج است و در منتهی نیز این احتمال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0300">
        <w:rPr>
          <w:rFonts w:ascii="IRBadr" w:hAnsi="IRBadr" w:cs="IRBadr"/>
          <w:sz w:val="28"/>
          <w:szCs w:val="28"/>
          <w:rtl/>
          <w:lang w:bidi="fa-IR"/>
        </w:rPr>
        <w:t>بااین‌وجود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بحث از عبادات مکروهه خارج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اجماعی در مقابل این امر نباشد،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بع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نیست بتواند مقبول واقع شود.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در ابواب صوم مندوب وسائل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 w:rsidR="00911A15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911A15" w:rsidRDefault="00911A15" w:rsidP="00854CED">
      <w:pPr>
        <w:pStyle w:val="Heading2"/>
        <w:rPr>
          <w:rtl/>
        </w:rPr>
      </w:pPr>
      <w:bookmarkStart w:id="7" w:name="_Toc431668457"/>
      <w:r>
        <w:rPr>
          <w:rFonts w:hint="cs"/>
          <w:rtl/>
        </w:rPr>
        <w:lastRenderedPageBreak/>
        <w:t>احتمال دوم</w:t>
      </w:r>
      <w:bookmarkEnd w:id="7"/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احتمال دیگری که در اینجا وجود دارد،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نهی از صوم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تحریمی غیر مطلق باشد که نیت شخص یا برداشت عرف در قبال آن همراهی با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بنی‌امیه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صوم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باطل خواهد بود و اگر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غیرازاین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کراهتی در کار نخواهد بود.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هماهنگی با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بنی‌امیه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حکمت حکم نخواهد بود برخلاف احتمال اول که در اینجا علت خواهد بود.</w:t>
      </w:r>
    </w:p>
    <w:p w:rsidR="00477533" w:rsidRDefault="00911A15" w:rsidP="00854CED">
      <w:pPr>
        <w:pStyle w:val="Heading2"/>
        <w:rPr>
          <w:rFonts w:hint="cs"/>
          <w:rtl/>
        </w:rPr>
      </w:pPr>
      <w:bookmarkStart w:id="8" w:name="_Toc431668458"/>
      <w:r>
        <w:rPr>
          <w:rFonts w:hint="cs"/>
          <w:rtl/>
        </w:rPr>
        <w:t>احتمال سوم</w:t>
      </w:r>
      <w:bookmarkEnd w:id="8"/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دیگر این است که مطلق صوم تنها حکم کراهت بدان تعلق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11A15" w:rsidRDefault="00911A15" w:rsidP="00854CED">
      <w:pPr>
        <w:pStyle w:val="Heading2"/>
        <w:rPr>
          <w:rFonts w:hint="cs"/>
          <w:rtl/>
        </w:rPr>
      </w:pPr>
      <w:bookmarkStart w:id="9" w:name="_Toc431668459"/>
      <w:r>
        <w:rPr>
          <w:rFonts w:hint="cs"/>
          <w:rtl/>
        </w:rPr>
        <w:t>احتمال چهارم</w:t>
      </w:r>
      <w:bookmarkEnd w:id="9"/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احتمال کراهت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صوم با نیت تبرک تعلق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احتمال در این صورت خواهد بود که لا تصم تنها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صوم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نه اینکه از باب مصداقیت باشد.</w:t>
      </w:r>
    </w:p>
    <w:p w:rsidR="00911A15" w:rsidRDefault="00911A15" w:rsidP="00854CED">
      <w:pPr>
        <w:pStyle w:val="Heading2"/>
        <w:rPr>
          <w:rFonts w:hint="cs"/>
          <w:rtl/>
        </w:rPr>
      </w:pPr>
      <w:bookmarkStart w:id="10" w:name="_Toc431668460"/>
      <w:r>
        <w:rPr>
          <w:rFonts w:hint="cs"/>
          <w:rtl/>
        </w:rPr>
        <w:t>احتمال پنجم</w:t>
      </w:r>
      <w:bookmarkEnd w:id="10"/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دیگر که آقای خویی نیز بدان معتقد بودند این است که روایات لاتصم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فرد بگویند افطار کن.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نسبت به سایر احتمالات جایگاه متفاوتی دارد.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0300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احتمال لا تصم یعنی افطر.</w:t>
      </w:r>
    </w:p>
    <w:p w:rsidR="00911A15" w:rsidRDefault="00911A15" w:rsidP="00854CED">
      <w:pPr>
        <w:pStyle w:val="Heading2"/>
        <w:rPr>
          <w:rFonts w:hint="cs"/>
          <w:rtl/>
        </w:rPr>
      </w:pPr>
      <w:bookmarkStart w:id="11" w:name="_Toc431668461"/>
      <w:r>
        <w:rPr>
          <w:rFonts w:hint="cs"/>
          <w:rtl/>
        </w:rPr>
        <w:t>اتخاذ مبنا</w:t>
      </w:r>
      <w:bookmarkEnd w:id="11"/>
    </w:p>
    <w:p w:rsidR="00911A15" w:rsidRDefault="00911A15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احتمال نیازمند مئونه بسیاری است و قرائن متقنی و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واضح‌های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وجود ندارد.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گفتار آقای خویی در اینجا چندان تامیتی ندارد و بیان آقای نائینی ممکن است اقوی باشد.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ارجحیت با کلام ایشان است که نهی به خود صوم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میان چهار احتمال اول،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اول بعید نبود ولی جای بحث بیشتری وجود دارد.</w:t>
      </w:r>
    </w:p>
    <w:p w:rsidR="00911A15" w:rsidRDefault="00E329AE" w:rsidP="00854CED">
      <w:pPr>
        <w:pStyle w:val="Heading2"/>
        <w:rPr>
          <w:rFonts w:hint="cs"/>
          <w:rtl/>
        </w:rPr>
      </w:pPr>
      <w:bookmarkStart w:id="12" w:name="_Toc431668462"/>
      <w:r>
        <w:rPr>
          <w:rFonts w:hint="cs"/>
          <w:rtl/>
        </w:rPr>
        <w:lastRenderedPageBreak/>
        <w:t>تصویر دوم</w:t>
      </w:r>
      <w:r w:rsidR="00247741">
        <w:rPr>
          <w:rtl/>
        </w:rPr>
        <w:t xml:space="preserve"> </w:t>
      </w:r>
      <w:r>
        <w:rPr>
          <w:rFonts w:hint="cs"/>
          <w:rtl/>
        </w:rPr>
        <w:t>حل کراهت عاشورا</w:t>
      </w:r>
      <w:bookmarkEnd w:id="12"/>
    </w:p>
    <w:p w:rsidR="00E329AE" w:rsidRDefault="00E329AE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تصویر دومی برای حل مسأله کراهت عاشورا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عبارت است از؛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تصو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دومی که مرحوم نائینی در اینجا ارائه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اساس مبنایی است که باید بدان اشاره گردد که گاهی متعلق دو حکم مسانخ در عبادات یک امر و گاهی دو امر است و هریک دارای احکام متفاوتی هستند.</w:t>
      </w:r>
    </w:p>
    <w:p w:rsidR="00E329AE" w:rsidRDefault="00E329AE" w:rsidP="00854CE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 </w:t>
      </w:r>
      <w:bookmarkStart w:id="13" w:name="_Toc431668463"/>
      <w:r>
        <w:rPr>
          <w:rFonts w:hint="cs"/>
          <w:rtl/>
        </w:rPr>
        <w:t>حالت اول</w:t>
      </w:r>
      <w:bookmarkEnd w:id="13"/>
    </w:p>
    <w:p w:rsidR="00E329AE" w:rsidRDefault="00E329AE" w:rsidP="00854CE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مثال قسم اول نذری است که به عبادت مستحبی تعلق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دو امر وجود دارد؛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استحبابی مانند نماز جعفر طیار که کمتر به اعتبار و آثار آن در روایات وجود دارد.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نذری وجوبی نیز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در اینجا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موجود است که هر دو حکم موجود متعلق یک حالت هستند.</w:t>
      </w:r>
    </w:p>
    <w:p w:rsidR="00E329AE" w:rsidRDefault="00E329AE" w:rsidP="00854CED">
      <w:pPr>
        <w:pStyle w:val="Heading2"/>
        <w:rPr>
          <w:rtl/>
        </w:rPr>
      </w:pPr>
      <w:bookmarkStart w:id="14" w:name="_Toc431668464"/>
      <w:r>
        <w:rPr>
          <w:rFonts w:hint="cs"/>
          <w:rtl/>
        </w:rPr>
        <w:t>حالت دوم</w:t>
      </w:r>
      <w:bookmarkEnd w:id="14"/>
    </w:p>
    <w:p w:rsidR="00E329AE" w:rsidRDefault="00E329AE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مثال حالت دوم مانند اجیر شدن برای نیابت جهت نماز برای فرد است که در اینجا مرحوم آقای نائینی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متعلق‌ها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غیر از دیگری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متعلق امر به نماز برای خود فرد بوده ولی متعلق منوب عنه برای دیگری و به نیتی برای خود فرد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اندکاک موجود در حالت اول وجود نخواهد داشت.</w:t>
      </w:r>
    </w:p>
    <w:p w:rsidR="00E329AE" w:rsidRDefault="00E329AE" w:rsidP="00854CED">
      <w:pPr>
        <w:pStyle w:val="Heading2"/>
        <w:rPr>
          <w:rFonts w:hint="cs"/>
          <w:rtl/>
        </w:rPr>
      </w:pPr>
      <w:bookmarkStart w:id="15" w:name="_Toc431668465"/>
      <w:r>
        <w:rPr>
          <w:rFonts w:hint="cs"/>
          <w:rtl/>
        </w:rPr>
        <w:t>تشریح بحث</w:t>
      </w:r>
      <w:bookmarkEnd w:id="15"/>
    </w:p>
    <w:p w:rsidR="00E329AE" w:rsidRDefault="00E329AE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ایشان از این مقدمه منتقل به بحث صوم عاشورا شده است که؛</w:t>
      </w:r>
    </w:p>
    <w:p w:rsidR="00E329AE" w:rsidRDefault="00E329AE" w:rsidP="00854CE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لا تصم در اینجا از قبیل حالت دوم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متعلق در اینجا دو امر است.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بدین گونه است که صوم به ذات </w:t>
      </w:r>
      <w:r w:rsidR="004C0300">
        <w:rPr>
          <w:rFonts w:ascii="IRBadr" w:hAnsi="IRBadr" w:cs="IRBadr"/>
          <w:sz w:val="28"/>
          <w:szCs w:val="28"/>
          <w:rtl/>
          <w:lang w:bidi="fa-IR"/>
        </w:rPr>
        <w:t>عمل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لاتصم به نفس عمل تعلق نگرفته است و امر عبادی به ذات عمل تعلق </w:t>
      </w:r>
      <w:r w:rsidR="00247741">
        <w:rPr>
          <w:rFonts w:ascii="IRBadr" w:hAnsi="IRBadr" w:cs="IRBadr"/>
          <w:sz w:val="28"/>
          <w:szCs w:val="28"/>
          <w:rtl/>
          <w:lang w:bidi="fa-IR"/>
        </w:rPr>
        <w:t>م</w:t>
      </w:r>
      <w:r w:rsidR="002477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صم یعنی انجام و لا تصم یعنی نباید به این عمل تعبدی باشد که در اجوبة التقریرات </w:t>
      </w:r>
      <w:r w:rsidR="004C0300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باید ملاحظه گردد.</w:t>
      </w:r>
    </w:p>
    <w:p w:rsidR="00E329AE" w:rsidRDefault="00E329AE" w:rsidP="00E329AE">
      <w:pPr>
        <w:bidi/>
        <w:spacing w:line="360" w:lineRule="auto"/>
        <w:rPr>
          <w:rFonts w:ascii="IRBadr" w:hAnsi="IRBadr" w:cs="IRBadr" w:hint="cs"/>
          <w:sz w:val="28"/>
          <w:szCs w:val="28"/>
          <w:rtl/>
          <w:lang w:bidi="fa-IR"/>
        </w:rPr>
      </w:pPr>
    </w:p>
    <w:p w:rsidR="00E329AE" w:rsidRPr="00477533" w:rsidRDefault="00E329AE" w:rsidP="00E329AE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E329AE" w:rsidRPr="00477533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A8" w:rsidRDefault="001559A8" w:rsidP="000D5800">
      <w:pPr>
        <w:spacing w:after="0" w:line="240" w:lineRule="auto"/>
      </w:pPr>
      <w:r>
        <w:separator/>
      </w:r>
    </w:p>
  </w:endnote>
  <w:endnote w:type="continuationSeparator" w:id="0">
    <w:p w:rsidR="001559A8" w:rsidRDefault="001559A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41" w:rsidRDefault="00247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41" w:rsidRDefault="00247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41" w:rsidRDefault="00247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A8" w:rsidRDefault="001559A8" w:rsidP="000D5800">
      <w:pPr>
        <w:spacing w:after="0" w:line="240" w:lineRule="auto"/>
      </w:pPr>
      <w:r>
        <w:separator/>
      </w:r>
    </w:p>
  </w:footnote>
  <w:footnote w:type="continuationSeparator" w:id="0">
    <w:p w:rsidR="001559A8" w:rsidRDefault="001559A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41" w:rsidRDefault="00247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77533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6B38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477533">
      <w:rPr>
        <w:rFonts w:ascii="IranNastaliq" w:hAnsi="IranNastaliq" w:cs="IranNastaliq" w:hint="cs"/>
        <w:sz w:val="40"/>
        <w:szCs w:val="40"/>
        <w:rtl/>
        <w:lang w:bidi="fa-IR"/>
      </w:rPr>
      <w:t>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41" w:rsidRDefault="00247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24977"/>
    <w:rsid w:val="00133E1D"/>
    <w:rsid w:val="0013617D"/>
    <w:rsid w:val="00136442"/>
    <w:rsid w:val="00150D4B"/>
    <w:rsid w:val="00152670"/>
    <w:rsid w:val="001559A8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47741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279C"/>
    <w:rsid w:val="003E4052"/>
    <w:rsid w:val="003E4ADF"/>
    <w:rsid w:val="003F604C"/>
    <w:rsid w:val="00405199"/>
    <w:rsid w:val="00410699"/>
    <w:rsid w:val="00415360"/>
    <w:rsid w:val="00417D22"/>
    <w:rsid w:val="0044591E"/>
    <w:rsid w:val="004651D2"/>
    <w:rsid w:val="00465D26"/>
    <w:rsid w:val="004679F8"/>
    <w:rsid w:val="00477533"/>
    <w:rsid w:val="004B337F"/>
    <w:rsid w:val="004C030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A2139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2961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4CED"/>
    <w:rsid w:val="008644F4"/>
    <w:rsid w:val="00883733"/>
    <w:rsid w:val="008965D2"/>
    <w:rsid w:val="008A236D"/>
    <w:rsid w:val="008B565A"/>
    <w:rsid w:val="008C3414"/>
    <w:rsid w:val="008D36D5"/>
    <w:rsid w:val="008F63E3"/>
    <w:rsid w:val="00911A15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A5306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29AE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8E66-1120-4E5E-AC98-BF3C063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236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47</cp:revision>
  <dcterms:created xsi:type="dcterms:W3CDTF">2014-11-18T06:47:00Z</dcterms:created>
  <dcterms:modified xsi:type="dcterms:W3CDTF">2015-10-03T17:39:00Z</dcterms:modified>
</cp:coreProperties>
</file>