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F5" w:rsidRDefault="000123F5" w:rsidP="000123F5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567802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"1-6"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0123F5" w:rsidRDefault="000123F5" w:rsidP="000123F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25" w:history="1">
        <w:r w:rsidRPr="00013268">
          <w:rPr>
            <w:rStyle w:val="Hyperlink"/>
            <w:rFonts w:hint="eastAsia"/>
            <w:noProof/>
            <w:rtl/>
          </w:rPr>
          <w:t>اجتماع</w:t>
        </w:r>
        <w:r w:rsidRPr="00013268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امرونهی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_Toc431699425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26" w:history="1">
        <w:r w:rsidRPr="00013268">
          <w:rPr>
            <w:rStyle w:val="Hyperlink"/>
            <w:rFonts w:hint="eastAsia"/>
            <w:noProof/>
            <w:rtl/>
          </w:rPr>
          <w:t>کراهت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در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عبادات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_Toc431699426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27" w:history="1">
        <w:r w:rsidRPr="00013268">
          <w:rPr>
            <w:rStyle w:val="Hyperlink"/>
            <w:rFonts w:hint="eastAsia"/>
            <w:noProof/>
            <w:rtl/>
          </w:rPr>
          <w:t>مرور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بحث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28" w:history="1">
        <w:r w:rsidRPr="00013268">
          <w:rPr>
            <w:rStyle w:val="Hyperlink"/>
            <w:rFonts w:hint="eastAsia"/>
            <w:noProof/>
            <w:rtl/>
          </w:rPr>
          <w:t>نظر</w:t>
        </w:r>
        <w:r w:rsidRPr="00013268">
          <w:rPr>
            <w:rStyle w:val="Hyperlink"/>
            <w:rFonts w:hint="cs"/>
            <w:noProof/>
            <w:rtl/>
          </w:rPr>
          <w:t>ی</w:t>
        </w:r>
        <w:r w:rsidRPr="00013268">
          <w:rPr>
            <w:rStyle w:val="Hyperlink"/>
            <w:rFonts w:hint="eastAsia"/>
            <w:noProof/>
            <w:rtl/>
          </w:rPr>
          <w:t>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مرحوم</w:t>
        </w:r>
        <w:r w:rsidRPr="00013268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ضیاءالدین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عراق</w:t>
        </w:r>
        <w:r w:rsidRPr="0001326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29" w:history="1">
        <w:r w:rsidRPr="00013268">
          <w:rPr>
            <w:rStyle w:val="Hyperlink"/>
            <w:rFonts w:hint="eastAsia"/>
            <w:noProof/>
            <w:rtl/>
          </w:rPr>
          <w:t>خدشه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در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استدلال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0" w:history="1">
        <w:r w:rsidRPr="00013268">
          <w:rPr>
            <w:rStyle w:val="Hyperlink"/>
            <w:rFonts w:hint="eastAsia"/>
            <w:noProof/>
            <w:rtl/>
          </w:rPr>
          <w:t>پاسخ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از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خدشه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1" w:history="1">
        <w:r w:rsidRPr="00013268">
          <w:rPr>
            <w:rStyle w:val="Hyperlink"/>
            <w:rFonts w:hint="eastAsia"/>
            <w:noProof/>
            <w:rtl/>
          </w:rPr>
          <w:t>ثمره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2" w:history="1">
        <w:r w:rsidRPr="00013268">
          <w:rPr>
            <w:rStyle w:val="Hyperlink"/>
            <w:rFonts w:hint="eastAsia"/>
            <w:noProof/>
            <w:rtl/>
          </w:rPr>
          <w:t>اتخاذ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3" w:history="1">
        <w:r w:rsidRPr="00013268">
          <w:rPr>
            <w:rStyle w:val="Hyperlink"/>
            <w:rFonts w:hint="eastAsia"/>
            <w:noProof/>
            <w:rtl/>
          </w:rPr>
          <w:t>ملاحظات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بر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استدلال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4" w:history="1">
        <w:r w:rsidRPr="00013268">
          <w:rPr>
            <w:rStyle w:val="Hyperlink"/>
            <w:rFonts w:hint="eastAsia"/>
            <w:noProof/>
            <w:rtl/>
          </w:rPr>
          <w:t>ملاحظه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5" w:history="1">
        <w:r w:rsidRPr="00013268">
          <w:rPr>
            <w:rStyle w:val="Hyperlink"/>
            <w:rFonts w:hint="eastAsia"/>
            <w:noProof/>
            <w:rtl/>
          </w:rPr>
          <w:t>ملاحظه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6" w:history="1">
        <w:r w:rsidRPr="00013268">
          <w:rPr>
            <w:rStyle w:val="Hyperlink"/>
            <w:rFonts w:hint="eastAsia"/>
            <w:noProof/>
            <w:rtl/>
          </w:rPr>
          <w:t>ملاحظه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7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99438" w:history="1">
        <w:r w:rsidRPr="00013268">
          <w:rPr>
            <w:rStyle w:val="Hyperlink"/>
            <w:rFonts w:hint="eastAsia"/>
            <w:noProof/>
            <w:rtl/>
          </w:rPr>
          <w:t>مثال</w:t>
        </w:r>
        <w:r w:rsidRPr="00013268">
          <w:rPr>
            <w:rStyle w:val="Hyperlink"/>
            <w:rFonts w:hint="cs"/>
            <w:noProof/>
            <w:rtl/>
          </w:rPr>
          <w:t>ی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د</w:t>
        </w:r>
        <w:r w:rsidRPr="00013268">
          <w:rPr>
            <w:rStyle w:val="Hyperlink"/>
            <w:rFonts w:hint="cs"/>
            <w:noProof/>
            <w:rtl/>
          </w:rPr>
          <w:t>ی</w:t>
        </w:r>
        <w:r w:rsidRPr="00013268">
          <w:rPr>
            <w:rStyle w:val="Hyperlink"/>
            <w:rFonts w:hint="eastAsia"/>
            <w:noProof/>
            <w:rtl/>
          </w:rPr>
          <w:t>گر</w:t>
        </w:r>
        <w:r w:rsidRPr="00013268">
          <w:rPr>
            <w:rStyle w:val="Hyperlink"/>
            <w:rFonts w:hint="cs"/>
            <w:noProof/>
            <w:rtl/>
          </w:rPr>
          <w:t>ی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از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123F5" w:rsidRDefault="000123F5" w:rsidP="000123F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99439" w:history="1">
        <w:r w:rsidRPr="00013268">
          <w:rPr>
            <w:rStyle w:val="Hyperlink"/>
            <w:rFonts w:hint="eastAsia"/>
            <w:noProof/>
            <w:rtl/>
          </w:rPr>
          <w:t>قسم</w:t>
        </w:r>
        <w:r w:rsidRPr="00013268">
          <w:rPr>
            <w:rStyle w:val="Hyperlink"/>
            <w:noProof/>
            <w:rtl/>
          </w:rPr>
          <w:t xml:space="preserve"> </w:t>
        </w:r>
        <w:r w:rsidRPr="00013268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_Toc431699439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8700F" w:rsidRDefault="000123F5" w:rsidP="000123F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8700F" w:rsidRDefault="00B8700F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567802" w:rsidRDefault="00567802" w:rsidP="00B8700F">
      <w:pPr>
        <w:pStyle w:val="Heading1"/>
        <w:rPr>
          <w:rFonts w:hint="cs"/>
          <w:rtl/>
        </w:rPr>
      </w:pPr>
      <w:bookmarkStart w:id="1" w:name="_Toc431699425"/>
      <w:bookmarkEnd w:id="0"/>
      <w:r>
        <w:rPr>
          <w:rFonts w:hint="cs"/>
          <w:rtl/>
        </w:rPr>
        <w:lastRenderedPageBreak/>
        <w:t xml:space="preserve">اجتماع </w:t>
      </w:r>
      <w:r w:rsidR="000123F5">
        <w:rPr>
          <w:rFonts w:hint="cs"/>
          <w:rtl/>
        </w:rPr>
        <w:t>امرونهی</w:t>
      </w:r>
      <w:bookmarkEnd w:id="1"/>
    </w:p>
    <w:p w:rsidR="00567802" w:rsidRDefault="00567802" w:rsidP="00B8700F">
      <w:pPr>
        <w:pStyle w:val="Heading1"/>
        <w:rPr>
          <w:rFonts w:hint="cs"/>
          <w:rtl/>
        </w:rPr>
      </w:pPr>
      <w:bookmarkStart w:id="2" w:name="_Toc431699426"/>
      <w:r>
        <w:rPr>
          <w:rFonts w:hint="cs"/>
          <w:rtl/>
        </w:rPr>
        <w:t>کراهت در عبادات</w:t>
      </w:r>
      <w:bookmarkEnd w:id="2"/>
    </w:p>
    <w:p w:rsidR="00567802" w:rsidRDefault="00567802" w:rsidP="00B8700F">
      <w:pPr>
        <w:pStyle w:val="Heading1"/>
        <w:rPr>
          <w:rtl/>
        </w:rPr>
      </w:pPr>
      <w:bookmarkStart w:id="3" w:name="_Toc431699427"/>
      <w:r>
        <w:rPr>
          <w:rFonts w:hint="cs"/>
          <w:rtl/>
        </w:rPr>
        <w:t>مرور بحث گذشته</w:t>
      </w:r>
      <w:bookmarkEnd w:id="3"/>
    </w:p>
    <w:p w:rsidR="00567802" w:rsidRDefault="00567802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عبادات مکروهه بود که برای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نمونه‌ها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زیادی در فقه وجود دارد،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سؤال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وجود داشت،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چگونه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عبادت بوده و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آن منقصتی وجود داشته باشد؟! مفروض بزرگان عدم وجود این حالت بوده است.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عبادت با مبعد تحریمی جمع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مبعد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تنزیهی نیز جمع نخواهد شد.</w:t>
      </w:r>
    </w:p>
    <w:p w:rsidR="00567802" w:rsidRDefault="0056780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به سراغ توجیه موارد مشکوک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از کلام صحاب کفایه مطرح شد که کبرویاً صحیح بود.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توج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برای مرحوم نائینی بود که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کبروی نیز با خدشه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روبه‌رو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بود.</w:t>
      </w:r>
    </w:p>
    <w:p w:rsidR="00567802" w:rsidRDefault="00567802" w:rsidP="00B8700F">
      <w:pPr>
        <w:pStyle w:val="Heading1"/>
        <w:rPr>
          <w:rtl/>
        </w:rPr>
      </w:pPr>
      <w:bookmarkStart w:id="4" w:name="_Toc431699428"/>
      <w:r>
        <w:rPr>
          <w:rFonts w:hint="cs"/>
          <w:rtl/>
        </w:rPr>
        <w:t xml:space="preserve">نظریه مرحوم </w:t>
      </w:r>
      <w:r w:rsidR="000123F5">
        <w:rPr>
          <w:rFonts w:hint="cs"/>
          <w:rtl/>
        </w:rPr>
        <w:t>ضیاءالدین</w:t>
      </w:r>
      <w:r>
        <w:rPr>
          <w:rFonts w:hint="cs"/>
          <w:rtl/>
        </w:rPr>
        <w:t xml:space="preserve"> عراقی</w:t>
      </w:r>
      <w:bookmarkEnd w:id="4"/>
    </w:p>
    <w:p w:rsidR="00567802" w:rsidRDefault="00567802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گفته شد در نوع اول که بدلی برای آن وجود ندارد مانند صوم یوم عاشورا وجوه متعدد وجود دارد که عمده همان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دووجهی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بیان شد.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در این زمینه نظریه آقای ضیاء قرار داده شد و بیان گشت که نظریه جدیدی نبود و در قسم دوم که نماز در حمام است خواهد آمد.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حمل کراهت بر اقل ثواباً و خلو امر از منقصت بود.</w:t>
      </w:r>
    </w:p>
    <w:p w:rsidR="00567802" w:rsidRDefault="00567802" w:rsidP="00B8700F">
      <w:pPr>
        <w:pStyle w:val="Heading2"/>
        <w:rPr>
          <w:rFonts w:hint="cs"/>
          <w:rtl/>
        </w:rPr>
      </w:pPr>
      <w:bookmarkStart w:id="5" w:name="_Toc431699429"/>
      <w:r>
        <w:rPr>
          <w:rFonts w:hint="cs"/>
          <w:rtl/>
        </w:rPr>
        <w:t>خدشه در استدلال فوق</w:t>
      </w:r>
      <w:bookmarkEnd w:id="5"/>
    </w:p>
    <w:p w:rsidR="00567802" w:rsidRDefault="0056780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نظریه با مشکلاتی مواجه بود که در اینجا چند امر مثل آن موارد وجود دارد بلکه تنها یک امر است که صوم یوم عاشورا باشد،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حمل بر اقل ثواباً شود.</w:t>
      </w:r>
    </w:p>
    <w:p w:rsidR="00567802" w:rsidRDefault="00567802" w:rsidP="00B8700F">
      <w:pPr>
        <w:pStyle w:val="Heading2"/>
        <w:rPr>
          <w:rFonts w:hint="cs"/>
          <w:rtl/>
        </w:rPr>
      </w:pPr>
      <w:bookmarkStart w:id="6" w:name="_Toc431699430"/>
      <w:r>
        <w:rPr>
          <w:rFonts w:hint="cs"/>
          <w:rtl/>
        </w:rPr>
        <w:t>پاسخ از خدشه فوق</w:t>
      </w:r>
      <w:bookmarkEnd w:id="6"/>
    </w:p>
    <w:p w:rsidR="00BB62E2" w:rsidRDefault="0056780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این جواب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نیست که این مقایسه مصادیق امر واحد باشد،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مقایسه چند امر است و شارع به ازای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هرروز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و خطابی مستقل دارد و مانند صلاة در حمام نیست.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علی‌رغم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تفاوت‌ها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t xml:space="preserve"> باب مقایسه این دو نوع باز است.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این اوامر ثوابی پایه وجود داشته و در مواردی ثواب به اوج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t xml:space="preserve"> مثل ایام البیض و در مواطنی به حضاضت خود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BB62E2">
        <w:rPr>
          <w:rFonts w:ascii="IRBadr" w:hAnsi="IRBadr" w:cs="IRBadr" w:hint="cs"/>
          <w:sz w:val="28"/>
          <w:szCs w:val="28"/>
          <w:rtl/>
          <w:lang w:bidi="fa-IR"/>
        </w:rPr>
        <w:t xml:space="preserve"> که امثال صوم یوم عاشورا است.</w:t>
      </w:r>
    </w:p>
    <w:p w:rsidR="00BB62E2" w:rsidRDefault="00BB62E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تنها فرق در تعدد یا وحدت مأمور به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BB62E2" w:rsidRDefault="00BB62E2" w:rsidP="00B8700F">
      <w:pPr>
        <w:pStyle w:val="Heading2"/>
        <w:rPr>
          <w:rFonts w:hint="cs"/>
          <w:rtl/>
        </w:rPr>
      </w:pPr>
      <w:bookmarkStart w:id="7" w:name="_Toc431699431"/>
      <w:r>
        <w:rPr>
          <w:rFonts w:hint="cs"/>
          <w:rtl/>
        </w:rPr>
        <w:t>ثمره بحث</w:t>
      </w:r>
      <w:bookmarkEnd w:id="7"/>
    </w:p>
    <w:p w:rsidR="00BB62E2" w:rsidRDefault="00BB62E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ثمره بحث در اینجا ظاهر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ممکن است فردی در طول سال چند روز روزه بگیرد،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مقایسه به او برای رسیدن به ثواب بیشتر کمک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B62E2" w:rsidRDefault="00BB62E2" w:rsidP="00B8700F">
      <w:pPr>
        <w:pStyle w:val="Heading2"/>
        <w:rPr>
          <w:rFonts w:hint="cs"/>
          <w:rtl/>
        </w:rPr>
      </w:pPr>
      <w:bookmarkStart w:id="8" w:name="_Toc431699432"/>
      <w:r>
        <w:rPr>
          <w:rFonts w:hint="cs"/>
          <w:rtl/>
        </w:rPr>
        <w:t>اتخاذ مبنا</w:t>
      </w:r>
      <w:bookmarkEnd w:id="8"/>
    </w:p>
    <w:p w:rsidR="00BB62E2" w:rsidRDefault="00BB62E2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معنای صحیحی برای استدلال فوق و گشودن باب مقایسه در اینجا وجود ندارد.</w:t>
      </w:r>
    </w:p>
    <w:p w:rsidR="00BB62E2" w:rsidRDefault="00BB62E2" w:rsidP="00B8700F">
      <w:pPr>
        <w:pStyle w:val="Heading2"/>
        <w:rPr>
          <w:rFonts w:hint="cs"/>
          <w:rtl/>
        </w:rPr>
      </w:pPr>
      <w:bookmarkStart w:id="9" w:name="_Toc431699433"/>
      <w:r>
        <w:rPr>
          <w:rFonts w:hint="cs"/>
          <w:rtl/>
        </w:rPr>
        <w:t>ملاحظات بر استدلال فوق</w:t>
      </w:r>
      <w:bookmarkEnd w:id="9"/>
    </w:p>
    <w:p w:rsidR="00BB62E2" w:rsidRDefault="00BB62E2" w:rsidP="00B8700F">
      <w:pPr>
        <w:pStyle w:val="Heading2"/>
        <w:rPr>
          <w:rtl/>
        </w:rPr>
      </w:pPr>
      <w:bookmarkStart w:id="10" w:name="_Toc431699434"/>
      <w:r>
        <w:rPr>
          <w:rFonts w:hint="cs"/>
          <w:rtl/>
        </w:rPr>
        <w:t>ملاحظه اول</w:t>
      </w:r>
      <w:bookmarkEnd w:id="10"/>
    </w:p>
    <w:p w:rsidR="00BB62E2" w:rsidRDefault="00BB62E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اینجا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ملاحظه وجود دارد،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ملاحظه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است که صوم یوم تاسوعا و عاشورا،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اقل ثواباً ندارد بلکه ظاهر آن نوعی منقصت است.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ظواهر ادله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هم‌خوانی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ندارد.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صوم یوم عاشورا گفته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سه‌راه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متساوی هستند و یا کلام مرحوم آخوند ارجح است،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 به تصرفی در ظاهر آن است ولی مئونه آن کمتر است.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راه اول و دوم را نپذیرفت،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همه ظهورات را برداشته و قول سوم را اخذ کند.</w:t>
      </w:r>
    </w:p>
    <w:p w:rsidR="00BB62E2" w:rsidRDefault="00BB62E2" w:rsidP="00B8700F">
      <w:pPr>
        <w:pStyle w:val="Heading2"/>
        <w:rPr>
          <w:rFonts w:hint="cs"/>
          <w:rtl/>
        </w:rPr>
      </w:pPr>
      <w:bookmarkStart w:id="11" w:name="_Toc431699435"/>
      <w:r>
        <w:rPr>
          <w:rFonts w:hint="cs"/>
          <w:rtl/>
        </w:rPr>
        <w:t>ملاحظه دوم</w:t>
      </w:r>
      <w:bookmarkEnd w:id="11"/>
    </w:p>
    <w:p w:rsidR="00BB62E2" w:rsidRDefault="00BB62E2" w:rsidP="00B8700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نظریه حمل بر اقل کراهةً،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 خود کبرویاً صحیح بوده و فاقد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هرگونه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اشکالی است.</w:t>
      </w:r>
    </w:p>
    <w:p w:rsidR="00BB62E2" w:rsidRDefault="00BB62E2" w:rsidP="00B8700F">
      <w:pPr>
        <w:pStyle w:val="Heading2"/>
        <w:rPr>
          <w:rtl/>
        </w:rPr>
      </w:pPr>
      <w:bookmarkStart w:id="12" w:name="_Toc431699436"/>
      <w:r>
        <w:rPr>
          <w:rFonts w:hint="cs"/>
          <w:rtl/>
        </w:rPr>
        <w:lastRenderedPageBreak/>
        <w:t>ملاحظه سوم</w:t>
      </w:r>
      <w:bookmarkEnd w:id="12"/>
    </w:p>
    <w:p w:rsidR="00BB62E2" w:rsidRDefault="00BB62E2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شاید اقل ثواباً نتیجه تزاحمات باشد،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عرض مورد اول قرار 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0123F5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شاید بتوان گفت اعم از آن است.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این دو ارتباطی وجود دارد،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 آن تساوی ندارد.</w:t>
      </w:r>
    </w:p>
    <w:p w:rsidR="008E49FC" w:rsidRDefault="000123F5" w:rsidP="00B8700F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8E49FC" w:rsidRDefault="000123F5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قسم اول چندین نظریه برای رفع اشکال وجود دارد که از میان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سه نظریه در اینجا ذکر شد؛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مرحوم آخوند،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نائ</w:t>
      </w:r>
      <w:r>
        <w:rPr>
          <w:rFonts w:ascii="IRBadr" w:hAnsi="IRBadr" w:cs="IRBadr" w:hint="cs"/>
          <w:sz w:val="28"/>
          <w:szCs w:val="28"/>
          <w:rtl/>
          <w:lang w:bidi="fa-IR"/>
        </w:rPr>
        <w:t>ینی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و آقا ضیاء که در این میان کبرویاً حتی بیان آقای نائینی نیز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صحیح باشد ولی باید میزان تصرفات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74EA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D274EA">
        <w:rPr>
          <w:rFonts w:ascii="IRBadr" w:hAnsi="IRBadr" w:cs="IRBadr" w:hint="cs"/>
          <w:sz w:val="28"/>
          <w:szCs w:val="28"/>
          <w:rtl/>
          <w:lang w:bidi="fa-IR"/>
        </w:rPr>
        <w:t>گ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>یرد که خود کار فقهی بوده و نیازمند بررسی است.</w:t>
      </w:r>
    </w:p>
    <w:p w:rsidR="008E49FC" w:rsidRDefault="008E49FC" w:rsidP="00B8700F">
      <w:pPr>
        <w:pStyle w:val="Heading2"/>
        <w:rPr>
          <w:rtl/>
        </w:rPr>
      </w:pPr>
      <w:bookmarkStart w:id="13" w:name="_Toc431699438"/>
      <w:r>
        <w:rPr>
          <w:rFonts w:hint="cs"/>
          <w:rtl/>
        </w:rPr>
        <w:t>مثالی دیگری از بحث</w:t>
      </w:r>
      <w:bookmarkEnd w:id="13"/>
    </w:p>
    <w:p w:rsidR="008E49FC" w:rsidRDefault="000123F5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مثال‌ها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دیگری نیز برای این بحث وجود دارد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علی‌رغم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365 روز و خطاب،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از صوم </w:t>
      </w:r>
      <w:r>
        <w:rPr>
          <w:rFonts w:ascii="IRBadr" w:hAnsi="IRBadr" w:cs="IRBadr" w:hint="cs"/>
          <w:sz w:val="28"/>
          <w:szCs w:val="28"/>
          <w:rtl/>
          <w:lang w:bidi="fa-IR"/>
        </w:rPr>
        <w:t>هرروز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نهی شده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اینجا تزاحم نقش </w:t>
      </w:r>
      <w:r w:rsidR="00D274EA">
        <w:rPr>
          <w:rFonts w:ascii="IRBadr" w:hAnsi="IRBadr" w:cs="IRBadr" w:hint="cs"/>
          <w:sz w:val="28"/>
          <w:szCs w:val="28"/>
          <w:rtl/>
          <w:lang w:bidi="fa-IR"/>
        </w:rPr>
        <w:t>برجسته‌تری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برای تزاحم </w:t>
      </w:r>
      <w:r w:rsidR="00D274EA">
        <w:rPr>
          <w:rFonts w:ascii="IRBadr" w:hAnsi="IRBadr" w:cs="IRBadr" w:hint="cs"/>
          <w:sz w:val="28"/>
          <w:szCs w:val="28"/>
          <w:rtl/>
          <w:lang w:bidi="fa-IR"/>
        </w:rPr>
        <w:t>قابل‌تصور</w:t>
      </w:r>
      <w:r w:rsidR="008E49FC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8E49FC" w:rsidRDefault="008E49FC" w:rsidP="00B8700F">
      <w:pPr>
        <w:pStyle w:val="Heading3"/>
        <w:rPr>
          <w:rFonts w:hint="cs"/>
          <w:rtl/>
        </w:rPr>
      </w:pPr>
      <w:bookmarkStart w:id="14" w:name="_Toc431699439"/>
      <w:r>
        <w:rPr>
          <w:rFonts w:hint="cs"/>
          <w:rtl/>
        </w:rPr>
        <w:t>قسم دوم</w:t>
      </w:r>
      <w:bookmarkEnd w:id="14"/>
    </w:p>
    <w:p w:rsidR="008E49FC" w:rsidRDefault="008E49FC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قسم مرحوم آخوند چند بیان دارند که یک بخش از کلام ایشان،</w:t>
      </w:r>
      <w:r w:rsidR="000123F5">
        <w:rPr>
          <w:rFonts w:ascii="IRBadr" w:hAnsi="IRBadr" w:cs="IRBadr"/>
          <w:sz w:val="28"/>
          <w:szCs w:val="28"/>
          <w:rtl/>
          <w:lang w:bidi="fa-IR"/>
        </w:rPr>
        <w:t xml:space="preserve"> اقل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ثواباً و بخش و </w:t>
      </w:r>
      <w:r w:rsidR="00D274EA"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همان باب تزاحم است که نیازمند توقف زیادی در این زمینه نیست.</w:t>
      </w:r>
    </w:p>
    <w:p w:rsidR="00567802" w:rsidRPr="00567802" w:rsidRDefault="00567802" w:rsidP="00B870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67802" w:rsidRPr="00567802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ED" w:rsidRDefault="009815ED" w:rsidP="000D5800">
      <w:pPr>
        <w:spacing w:after="0" w:line="240" w:lineRule="auto"/>
      </w:pPr>
      <w:r>
        <w:separator/>
      </w:r>
    </w:p>
  </w:endnote>
  <w:endnote w:type="continuationSeparator" w:id="0">
    <w:p w:rsidR="009815ED" w:rsidRDefault="009815E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5" w:rsidRDefault="00012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5" w:rsidRDefault="00012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5" w:rsidRDefault="0001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ED" w:rsidRDefault="009815ED" w:rsidP="000D5800">
      <w:pPr>
        <w:spacing w:after="0" w:line="240" w:lineRule="auto"/>
      </w:pPr>
      <w:r>
        <w:separator/>
      </w:r>
    </w:p>
  </w:footnote>
  <w:footnote w:type="continuationSeparator" w:id="0">
    <w:p w:rsidR="009815ED" w:rsidRDefault="009815ED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5" w:rsidRDefault="00012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213BA4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5012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567802">
      <w:rPr>
        <w:rFonts w:ascii="IranNastaliq" w:hAnsi="IranNastaliq" w:cs="IranNastaliq" w:hint="cs"/>
        <w:sz w:val="40"/>
        <w:szCs w:val="40"/>
        <w:rtl/>
        <w:lang w:bidi="fa-IR"/>
      </w:rPr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5" w:rsidRDefault="00012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123F5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3BA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67802"/>
    <w:rsid w:val="00572680"/>
    <w:rsid w:val="00572E2D"/>
    <w:rsid w:val="00592103"/>
    <w:rsid w:val="005A545E"/>
    <w:rsid w:val="005A5862"/>
    <w:rsid w:val="005B0852"/>
    <w:rsid w:val="005C06AE"/>
    <w:rsid w:val="005E2575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06B32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49FC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815ED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6683E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8700F"/>
    <w:rsid w:val="00BB5F7E"/>
    <w:rsid w:val="00BB62E2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274EA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6631-E258-477F-8058-A2003989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108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31</cp:revision>
  <dcterms:created xsi:type="dcterms:W3CDTF">2014-11-18T06:47:00Z</dcterms:created>
  <dcterms:modified xsi:type="dcterms:W3CDTF">2015-10-04T01:55:00Z</dcterms:modified>
</cp:coreProperties>
</file>