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44" w:rsidRDefault="008655A3" w:rsidP="00734D59">
      <w:pPr>
        <w:bidi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EC5F1D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977344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97734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977344">
        <w:rPr>
          <w:rFonts w:ascii="IRBadr" w:hAnsi="IRBadr" w:cs="IRBadr"/>
          <w:sz w:val="28"/>
          <w:szCs w:val="28"/>
          <w:lang w:bidi="fa-IR"/>
        </w:rPr>
        <w:instrText>TOC</w:instrText>
      </w:r>
      <w:r w:rsidR="00977344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977344">
        <w:rPr>
          <w:rFonts w:ascii="IRBadr" w:hAnsi="IRBadr" w:cs="IRBadr"/>
          <w:sz w:val="28"/>
          <w:szCs w:val="28"/>
          <w:lang w:bidi="fa-IR"/>
        </w:rPr>
        <w:instrText>o "1-5" \h \z \u</w:instrText>
      </w:r>
      <w:r w:rsidR="0097734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977344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977344" w:rsidRDefault="00CF6214" w:rsidP="0097734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39" w:history="1">
        <w:r w:rsidR="00977344" w:rsidRPr="008D49A2">
          <w:rPr>
            <w:rStyle w:val="Hyperlink"/>
            <w:rFonts w:hint="eastAsia"/>
            <w:noProof/>
            <w:rtl/>
          </w:rPr>
          <w:t>اجتماع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8655A3">
          <w:rPr>
            <w:rStyle w:val="Hyperlink"/>
            <w:rFonts w:hint="eastAsia"/>
            <w:noProof/>
            <w:rtl/>
          </w:rPr>
          <w:t>امرونهی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_Toc431801739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2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0" w:history="1">
        <w:r w:rsidR="00977344" w:rsidRPr="008D49A2">
          <w:rPr>
            <w:rStyle w:val="Hyperlink"/>
            <w:rFonts w:hint="eastAsia"/>
            <w:noProof/>
            <w:rtl/>
          </w:rPr>
          <w:t>مرور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بحث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تاکنون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_Toc431801740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2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1" w:history="1">
        <w:r w:rsidR="00977344" w:rsidRPr="008D49A2">
          <w:rPr>
            <w:rStyle w:val="Hyperlink"/>
            <w:rFonts w:hint="eastAsia"/>
            <w:noProof/>
            <w:rtl/>
          </w:rPr>
          <w:t>مرور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بر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قسم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سوم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_Toc431801741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2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2" w:history="1">
        <w:r w:rsidR="00977344" w:rsidRPr="008D49A2">
          <w:rPr>
            <w:rStyle w:val="Hyperlink"/>
            <w:rFonts w:hint="eastAsia"/>
            <w:noProof/>
            <w:rtl/>
          </w:rPr>
          <w:t>مرور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بر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آراء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گذشته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_Toc431801742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2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3" w:history="1">
        <w:r w:rsidR="008655A3">
          <w:rPr>
            <w:rStyle w:val="Hyperlink"/>
            <w:rFonts w:hint="eastAsia"/>
            <w:noProof/>
            <w:rtl/>
          </w:rPr>
          <w:t>راه‌حل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دوم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_Toc431801743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3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4" w:history="1">
        <w:r w:rsidR="00977344" w:rsidRPr="008D49A2">
          <w:rPr>
            <w:rStyle w:val="Hyperlink"/>
            <w:rFonts w:hint="eastAsia"/>
            <w:noProof/>
            <w:rtl/>
          </w:rPr>
          <w:t>تقر</w:t>
        </w:r>
        <w:r w:rsidR="00977344" w:rsidRPr="008D49A2">
          <w:rPr>
            <w:rStyle w:val="Hyperlink"/>
            <w:rFonts w:hint="cs"/>
            <w:noProof/>
            <w:rtl/>
          </w:rPr>
          <w:t>ی</w:t>
        </w:r>
        <w:r w:rsidR="00977344" w:rsidRPr="008D49A2">
          <w:rPr>
            <w:rStyle w:val="Hyperlink"/>
            <w:rFonts w:hint="eastAsia"/>
            <w:noProof/>
            <w:rtl/>
          </w:rPr>
          <w:t>رات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8655A3">
          <w:rPr>
            <w:rStyle w:val="Hyperlink"/>
            <w:rFonts w:hint="eastAsia"/>
            <w:noProof/>
            <w:rtl/>
          </w:rPr>
          <w:t>راه‌حل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فوق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_Toc431801744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3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5" w:history="1">
        <w:r w:rsidR="00977344" w:rsidRPr="008D49A2">
          <w:rPr>
            <w:rStyle w:val="Hyperlink"/>
            <w:rFonts w:hint="eastAsia"/>
            <w:noProof/>
            <w:rtl/>
          </w:rPr>
          <w:t>تقر</w:t>
        </w:r>
        <w:r w:rsidR="00977344" w:rsidRPr="008D49A2">
          <w:rPr>
            <w:rStyle w:val="Hyperlink"/>
            <w:rFonts w:hint="cs"/>
            <w:noProof/>
            <w:rtl/>
          </w:rPr>
          <w:t>ی</w:t>
        </w:r>
        <w:r w:rsidR="00977344" w:rsidRPr="008D49A2">
          <w:rPr>
            <w:rStyle w:val="Hyperlink"/>
            <w:rFonts w:hint="eastAsia"/>
            <w:noProof/>
            <w:rtl/>
          </w:rPr>
          <w:t>ر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اول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_Toc431801745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3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6" w:history="1">
        <w:r w:rsidR="00977344" w:rsidRPr="008D49A2">
          <w:rPr>
            <w:rStyle w:val="Hyperlink"/>
            <w:rFonts w:hint="eastAsia"/>
            <w:noProof/>
            <w:rtl/>
          </w:rPr>
          <w:t>تقر</w:t>
        </w:r>
        <w:r w:rsidR="00977344" w:rsidRPr="008D49A2">
          <w:rPr>
            <w:rStyle w:val="Hyperlink"/>
            <w:rFonts w:hint="cs"/>
            <w:noProof/>
            <w:rtl/>
          </w:rPr>
          <w:t>ی</w:t>
        </w:r>
        <w:r w:rsidR="00977344" w:rsidRPr="008D49A2">
          <w:rPr>
            <w:rStyle w:val="Hyperlink"/>
            <w:rFonts w:hint="eastAsia"/>
            <w:noProof/>
            <w:rtl/>
          </w:rPr>
          <w:t>ر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دوم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_Toc431801746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3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7" w:history="1">
        <w:r w:rsidR="00977344" w:rsidRPr="008D49A2">
          <w:rPr>
            <w:rStyle w:val="Hyperlink"/>
            <w:rFonts w:hint="eastAsia"/>
            <w:noProof/>
            <w:rtl/>
          </w:rPr>
          <w:t>اتخاذ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مبنا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_Toc431801747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4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8" w:history="1">
        <w:r w:rsidR="00977344" w:rsidRPr="008D49A2">
          <w:rPr>
            <w:rStyle w:val="Hyperlink"/>
            <w:rFonts w:hint="eastAsia"/>
            <w:noProof/>
            <w:rtl/>
          </w:rPr>
          <w:t>حمل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کلام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قدماء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_Toc431801748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4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49" w:history="1">
        <w:r w:rsidR="008655A3">
          <w:rPr>
            <w:rStyle w:val="Hyperlink"/>
            <w:rFonts w:hint="eastAsia"/>
            <w:noProof/>
            <w:rtl/>
          </w:rPr>
          <w:t>راه‌حل</w:t>
        </w:r>
        <w:r w:rsidR="00977344" w:rsidRPr="008D49A2">
          <w:rPr>
            <w:rStyle w:val="Hyperlink"/>
            <w:noProof/>
            <w:rtl/>
          </w:rPr>
          <w:t xml:space="preserve"> </w:t>
        </w:r>
        <w:r w:rsidR="00977344" w:rsidRPr="008D49A2">
          <w:rPr>
            <w:rStyle w:val="Hyperlink"/>
            <w:rFonts w:hint="eastAsia"/>
            <w:noProof/>
            <w:rtl/>
          </w:rPr>
          <w:t>سوم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_Toc431801749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4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CF6214" w:rsidP="0097734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1750" w:history="1">
        <w:r w:rsidR="008655A3">
          <w:rPr>
            <w:rStyle w:val="Hyperlink"/>
            <w:rFonts w:hint="eastAsia"/>
            <w:noProof/>
            <w:rtl/>
          </w:rPr>
          <w:t>نتیجه‌گیری</w:t>
        </w:r>
        <w:r w:rsidR="00977344">
          <w:rPr>
            <w:noProof/>
            <w:webHidden/>
          </w:rPr>
          <w:tab/>
        </w:r>
        <w:r w:rsidR="00977344">
          <w:rPr>
            <w:rStyle w:val="Hyperlink"/>
            <w:noProof/>
            <w:rtl/>
          </w:rPr>
          <w:fldChar w:fldCharType="begin"/>
        </w:r>
        <w:r w:rsidR="00977344">
          <w:rPr>
            <w:noProof/>
            <w:webHidden/>
          </w:rPr>
          <w:instrText xml:space="preserve"> PAGEREF _Toc431801750 \h </w:instrText>
        </w:r>
        <w:r w:rsidR="00977344">
          <w:rPr>
            <w:rStyle w:val="Hyperlink"/>
            <w:noProof/>
            <w:rtl/>
          </w:rPr>
        </w:r>
        <w:r w:rsidR="00977344">
          <w:rPr>
            <w:rStyle w:val="Hyperlink"/>
            <w:noProof/>
            <w:rtl/>
          </w:rPr>
          <w:fldChar w:fldCharType="separate"/>
        </w:r>
        <w:r w:rsidR="00977344">
          <w:rPr>
            <w:noProof/>
            <w:webHidden/>
          </w:rPr>
          <w:t>4</w:t>
        </w:r>
        <w:r w:rsidR="00977344">
          <w:rPr>
            <w:rStyle w:val="Hyperlink"/>
            <w:noProof/>
            <w:rtl/>
          </w:rPr>
          <w:fldChar w:fldCharType="end"/>
        </w:r>
      </w:hyperlink>
    </w:p>
    <w:p w:rsidR="00977344" w:rsidRDefault="00977344" w:rsidP="00734D59">
      <w:pPr>
        <w:bidi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77344" w:rsidRDefault="00977344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EC5F1D" w:rsidRDefault="00EC5F1D" w:rsidP="00977344">
      <w:pPr>
        <w:pStyle w:val="Heading1"/>
        <w:rPr>
          <w:rtl/>
        </w:rPr>
      </w:pPr>
      <w:bookmarkStart w:id="0" w:name="_Toc431801739"/>
      <w:r>
        <w:rPr>
          <w:rFonts w:hint="cs"/>
          <w:rtl/>
        </w:rPr>
        <w:lastRenderedPageBreak/>
        <w:t xml:space="preserve">اجتماع </w:t>
      </w:r>
      <w:r w:rsidR="008655A3">
        <w:rPr>
          <w:rFonts w:hint="cs"/>
          <w:rtl/>
        </w:rPr>
        <w:t>امرونهی</w:t>
      </w:r>
      <w:bookmarkEnd w:id="0"/>
    </w:p>
    <w:p w:rsidR="00EC5F1D" w:rsidRDefault="00EC5F1D" w:rsidP="00977344">
      <w:pPr>
        <w:pStyle w:val="Heading1"/>
        <w:rPr>
          <w:rtl/>
        </w:rPr>
      </w:pPr>
      <w:bookmarkStart w:id="1" w:name="_Toc431801740"/>
      <w:r>
        <w:rPr>
          <w:rFonts w:hint="cs"/>
          <w:rtl/>
        </w:rPr>
        <w:t>مرور بحث تاکنون</w:t>
      </w:r>
      <w:bookmarkEnd w:id="1"/>
    </w:p>
    <w:p w:rsidR="00EC5F1D" w:rsidRDefault="00EC5F1D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اجتماع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حتی در ترکیب اتحادی بیشتر دیدگاه جواز را ترجیح دادیم.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عبادات گاهی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نهی‌ای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تحریمی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به‌حکم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و در مواقعی نیز از قبیل ارشادی بود که حکم آن روشن بود.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اختصاص به عبادت نداشته و در </w:t>
      </w:r>
      <w:bookmarkStart w:id="2" w:name="_GoBack"/>
      <w:r>
        <w:rPr>
          <w:rFonts w:ascii="IRBadr" w:hAnsi="IRBadr" w:cs="IRBadr" w:hint="cs"/>
          <w:sz w:val="28"/>
          <w:szCs w:val="28"/>
          <w:rtl/>
          <w:lang w:bidi="fa-IR"/>
        </w:rPr>
        <w:t>توصلیات</w:t>
      </w:r>
      <w:bookmarkEnd w:id="2"/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وجود دارد که هرگاه پس از امری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نهی‌ای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یکی از اقسام تعلق گرفت،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صادق خواهد بود.</w:t>
      </w:r>
    </w:p>
    <w:p w:rsidR="00EC5F1D" w:rsidRDefault="00EC5F1D" w:rsidP="00977344">
      <w:pPr>
        <w:pStyle w:val="Heading1"/>
        <w:rPr>
          <w:rtl/>
        </w:rPr>
      </w:pPr>
      <w:bookmarkStart w:id="3" w:name="_Toc431801741"/>
      <w:r>
        <w:rPr>
          <w:rFonts w:hint="cs"/>
          <w:rtl/>
        </w:rPr>
        <w:t>مرور بر قسم سوم</w:t>
      </w:r>
      <w:bookmarkEnd w:id="3"/>
    </w:p>
    <w:p w:rsidR="00EC5F1D" w:rsidRDefault="008655A3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EC5F1D">
        <w:rPr>
          <w:rFonts w:ascii="IRBadr" w:hAnsi="IRBadr" w:cs="IRBadr" w:hint="cs"/>
          <w:sz w:val="28"/>
          <w:szCs w:val="28"/>
          <w:rtl/>
          <w:lang w:bidi="fa-IR"/>
        </w:rPr>
        <w:t xml:space="preserve"> اگر نهی ارشاد به بطلان یا نهی تکلیفی تحریمی به فردی از افراد مأمور به تعلق گرفت،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EC5F1D">
        <w:rPr>
          <w:rFonts w:ascii="IRBadr" w:hAnsi="IRBadr" w:cs="IRBadr" w:hint="cs"/>
          <w:sz w:val="28"/>
          <w:szCs w:val="28"/>
          <w:rtl/>
          <w:lang w:bidi="fa-IR"/>
        </w:rPr>
        <w:t xml:space="preserve"> مأمور به را ضمن آن محقق نمود.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EC5F1D">
        <w:rPr>
          <w:rFonts w:ascii="IRBadr" w:hAnsi="IRBadr" w:cs="IRBadr" w:hint="cs"/>
          <w:sz w:val="28"/>
          <w:szCs w:val="28"/>
          <w:rtl/>
          <w:lang w:bidi="fa-IR"/>
        </w:rPr>
        <w:t xml:space="preserve"> قسم سومی در موردی است که به فردی از آن </w:t>
      </w:r>
      <w:r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EC5F1D">
        <w:rPr>
          <w:rFonts w:ascii="IRBadr" w:hAnsi="IRBadr" w:cs="IRBadr" w:hint="cs"/>
          <w:sz w:val="28"/>
          <w:szCs w:val="28"/>
          <w:rtl/>
          <w:lang w:bidi="fa-IR"/>
        </w:rPr>
        <w:t xml:space="preserve"> و نهی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 w:rsidR="00EC5F1D">
        <w:rPr>
          <w:rFonts w:ascii="IRBadr" w:hAnsi="IRBadr" w:cs="IRBadr" w:hint="cs"/>
          <w:sz w:val="28"/>
          <w:szCs w:val="28"/>
          <w:rtl/>
          <w:lang w:bidi="fa-IR"/>
        </w:rPr>
        <w:t xml:space="preserve"> تنزیهی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EC5F1D">
        <w:rPr>
          <w:rFonts w:ascii="IRBadr" w:hAnsi="IRBadr" w:cs="IRBadr" w:hint="cs"/>
          <w:sz w:val="28"/>
          <w:szCs w:val="28"/>
          <w:rtl/>
          <w:lang w:bidi="fa-IR"/>
        </w:rPr>
        <w:t xml:space="preserve"> حالت در روایات زیاد است مانند صوم یوم عاشورا که باید دانست حکم در اینجا به چه صورت خواهد بود؟</w:t>
      </w:r>
    </w:p>
    <w:p w:rsidR="00EC5F1D" w:rsidRDefault="00EC5F1D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گفته شد،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در توصلیات نیز وجود دارد مانند برخی از صور و حالات نهی شده در انفاق.</w:t>
      </w:r>
    </w:p>
    <w:p w:rsidR="00EC5F1D" w:rsidRDefault="00EC5F1D" w:rsidP="00977344">
      <w:pPr>
        <w:pStyle w:val="Heading1"/>
        <w:rPr>
          <w:rtl/>
        </w:rPr>
      </w:pPr>
      <w:bookmarkStart w:id="4" w:name="_Toc431801742"/>
      <w:r>
        <w:rPr>
          <w:rFonts w:hint="cs"/>
          <w:rtl/>
        </w:rPr>
        <w:t>مرور بر آراء گذشته</w:t>
      </w:r>
      <w:bookmarkEnd w:id="4"/>
    </w:p>
    <w:p w:rsidR="00977344" w:rsidRDefault="00EC5F1D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صاحب کفایه این حالت را به سه قسم تقسیم کرد که قسم اول و دوم آن عموم و خصوص مطلق بود و بدلی برای آن در قسم اول برخلاف قسم دوم نبود.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قسم سوم عموم و خصوص من وجه است که دارای نهی مستقلی بوده که بعداً بررسی خواهد شد.</w:t>
      </w:r>
    </w:p>
    <w:p w:rsidR="00EC5F1D" w:rsidRDefault="00EC5F1D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تاکنون سه دیدگاه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 که همه از حیث کبروی صحیح هستند اما از جهت صغروی باید به سراغ اقتضای روایات رفت که دیدگاه مرحوم آخوند،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نائ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آقای خویی بود.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کلام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بحث اول به پایان رسید.</w:t>
      </w:r>
    </w:p>
    <w:p w:rsidR="00EC5F1D" w:rsidRDefault="00F03DE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جریان وجه اول به لحاظ کبروی در مثل صلاة در حمام به لحاظ کبروی معقول است اما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صغروی چیزی از آن فهمیده 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که در مواردی مانند انفاق بتوان مصداقی در روایات برای آن پیدا نمود.</w:t>
      </w:r>
    </w:p>
    <w:p w:rsidR="00F03DE7" w:rsidRDefault="008655A3" w:rsidP="00977344">
      <w:pPr>
        <w:pStyle w:val="Heading2"/>
        <w:rPr>
          <w:rtl/>
        </w:rPr>
      </w:pPr>
      <w:bookmarkStart w:id="5" w:name="_Toc431801743"/>
      <w:r>
        <w:rPr>
          <w:rFonts w:hint="cs"/>
          <w:rtl/>
        </w:rPr>
        <w:lastRenderedPageBreak/>
        <w:t>راه‌حل</w:t>
      </w:r>
      <w:r w:rsidR="00F03DE7">
        <w:rPr>
          <w:rFonts w:hint="cs"/>
          <w:rtl/>
        </w:rPr>
        <w:t xml:space="preserve"> دوم</w:t>
      </w:r>
      <w:bookmarkEnd w:id="5"/>
    </w:p>
    <w:p w:rsidR="00F03DE7" w:rsidRDefault="008655A3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راه‌حل</w:t>
      </w:r>
      <w:r w:rsidR="00F03DE7">
        <w:rPr>
          <w:rFonts w:ascii="IRBadr" w:hAnsi="IRBadr" w:cs="IRBadr" w:hint="cs"/>
          <w:sz w:val="28"/>
          <w:szCs w:val="28"/>
          <w:rtl/>
          <w:lang w:bidi="fa-IR"/>
        </w:rPr>
        <w:t xml:space="preserve"> دومی که شهرت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 w:rsidR="00F03DE7">
        <w:rPr>
          <w:rFonts w:ascii="IRBadr" w:hAnsi="IRBadr" w:cs="IRBadr" w:hint="cs"/>
          <w:sz w:val="28"/>
          <w:szCs w:val="28"/>
          <w:rtl/>
          <w:lang w:bidi="fa-IR"/>
        </w:rPr>
        <w:t xml:space="preserve"> دارد حمل بر اقل ثواباً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F03DE7">
        <w:rPr>
          <w:rFonts w:ascii="IRBadr" w:hAnsi="IRBadr" w:cs="IRBadr" w:hint="cs"/>
          <w:sz w:val="28"/>
          <w:szCs w:val="28"/>
          <w:rtl/>
          <w:lang w:bidi="fa-IR"/>
        </w:rPr>
        <w:t xml:space="preserve"> مسأله روشن است که نهی در عبادت به معنای منقصت در عبادات حمل نشود.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F03DE7">
        <w:rPr>
          <w:rFonts w:ascii="IRBadr" w:hAnsi="IRBadr" w:cs="IRBadr" w:hint="cs"/>
          <w:sz w:val="28"/>
          <w:szCs w:val="28"/>
          <w:rtl/>
          <w:lang w:bidi="fa-IR"/>
        </w:rPr>
        <w:t xml:space="preserve"> واجب دارای طیفی از افراد است که در اینجا مصداق و میزان ثواب آن موارد میانه خواهد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کما اینکه</w:t>
      </w:r>
      <w:r w:rsidR="00F03DE7">
        <w:rPr>
          <w:rFonts w:ascii="IRBadr" w:hAnsi="IRBadr" w:cs="IRBadr" w:hint="cs"/>
          <w:sz w:val="28"/>
          <w:szCs w:val="28"/>
          <w:rtl/>
          <w:lang w:bidi="fa-IR"/>
        </w:rPr>
        <w:t xml:space="preserve"> امر در موارد برتر دارای </w:t>
      </w:r>
      <w:r>
        <w:rPr>
          <w:rFonts w:ascii="IRBadr" w:hAnsi="IRBadr" w:cs="IRBadr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sz w:val="28"/>
          <w:szCs w:val="28"/>
          <w:rtl/>
          <w:lang w:bidi="fa-IR"/>
        </w:rPr>
        <w:t>یژگی‌های</w:t>
      </w:r>
      <w:r w:rsidR="00F03DE7">
        <w:rPr>
          <w:rFonts w:ascii="IRBadr" w:hAnsi="IRBadr" w:cs="IRBadr" w:hint="cs"/>
          <w:sz w:val="28"/>
          <w:szCs w:val="28"/>
          <w:rtl/>
          <w:lang w:bidi="fa-IR"/>
        </w:rPr>
        <w:t xml:space="preserve"> برتری است مانند </w:t>
      </w:r>
      <w:r>
        <w:rPr>
          <w:rFonts w:ascii="IRBadr" w:hAnsi="IRBadr" w:cs="IRBadr" w:hint="cs"/>
          <w:sz w:val="28"/>
          <w:szCs w:val="28"/>
          <w:rtl/>
          <w:lang w:bidi="fa-IR"/>
        </w:rPr>
        <w:t>نمازخواندن</w:t>
      </w:r>
      <w:r w:rsidR="00F03DE7">
        <w:rPr>
          <w:rFonts w:ascii="IRBadr" w:hAnsi="IRBadr" w:cs="IRBadr" w:hint="cs"/>
          <w:sz w:val="28"/>
          <w:szCs w:val="28"/>
          <w:rtl/>
          <w:lang w:bidi="fa-IR"/>
        </w:rPr>
        <w:t xml:space="preserve"> پشت سر عالم.</w:t>
      </w:r>
    </w:p>
    <w:p w:rsidR="00A032B9" w:rsidRDefault="00F03DE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قیاس افراد به حالت طبیعی است نه اینکه مقایسه با مطلق مصادیق باشد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سابقاً نیز بیان شد.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ظاهر اول نهی نوعی از زجر یا طلب ترک به همراه ترخیص است که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مابین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دو نظریه جمع نمودیم.</w:t>
      </w:r>
    </w:p>
    <w:p w:rsidR="00F03DE7" w:rsidRDefault="00F03DE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یعنی وجود نهی ناشی از نوعی مفسده ذاتی است که در اینجا چون مورد عبادت است 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حمل نمود لذا باید بر این موارد حمل نمود.</w:t>
      </w:r>
    </w:p>
    <w:p w:rsidR="00F03DE7" w:rsidRDefault="00F03DE7" w:rsidP="00977344">
      <w:pPr>
        <w:pStyle w:val="Heading2"/>
        <w:rPr>
          <w:rtl/>
        </w:rPr>
      </w:pPr>
      <w:bookmarkStart w:id="6" w:name="_Toc431801744"/>
      <w:r>
        <w:rPr>
          <w:rFonts w:hint="cs"/>
          <w:rtl/>
        </w:rPr>
        <w:t xml:space="preserve">تقریرات </w:t>
      </w:r>
      <w:r w:rsidR="008655A3">
        <w:rPr>
          <w:rFonts w:hint="cs"/>
          <w:rtl/>
        </w:rPr>
        <w:t>راه‌حل</w:t>
      </w:r>
      <w:r>
        <w:rPr>
          <w:rFonts w:hint="cs"/>
          <w:rtl/>
        </w:rPr>
        <w:t xml:space="preserve"> فوق</w:t>
      </w:r>
      <w:bookmarkEnd w:id="6"/>
    </w:p>
    <w:p w:rsidR="00F03DE7" w:rsidRDefault="00F03DE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راه‌حل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دو صورت تقریر شده است؛</w:t>
      </w:r>
    </w:p>
    <w:p w:rsidR="00F03DE7" w:rsidRDefault="00F03DE7" w:rsidP="00977344">
      <w:pPr>
        <w:pStyle w:val="Heading2"/>
        <w:rPr>
          <w:rtl/>
        </w:rPr>
      </w:pPr>
      <w:bookmarkStart w:id="7" w:name="_Toc431801745"/>
      <w:r>
        <w:rPr>
          <w:rFonts w:hint="cs"/>
          <w:rtl/>
        </w:rPr>
        <w:t>تقریر اول</w:t>
      </w:r>
      <w:bookmarkEnd w:id="7"/>
    </w:p>
    <w:p w:rsidR="00F03DE7" w:rsidRDefault="00F03DE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نوع در کلمات بیشتر وجود دارد این بوده که نهی در اینجا ارشاد به اقل ثواباً است و نهی از مولویتی برخوردار نیست.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مشهور است.</w:t>
      </w:r>
    </w:p>
    <w:p w:rsidR="00233CA7" w:rsidRDefault="00233CA7" w:rsidP="00977344">
      <w:pPr>
        <w:pStyle w:val="Heading2"/>
        <w:rPr>
          <w:rtl/>
        </w:rPr>
      </w:pPr>
      <w:bookmarkStart w:id="8" w:name="_Toc431801746"/>
      <w:r>
        <w:rPr>
          <w:rFonts w:hint="cs"/>
          <w:rtl/>
        </w:rPr>
        <w:t>تقریر دوم</w:t>
      </w:r>
      <w:bookmarkEnd w:id="8"/>
    </w:p>
    <w:p w:rsidR="00233CA7" w:rsidRDefault="00233CA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تقریر ظاهر فرمایش آقای خویی و احیاناً برخی دیگر است،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این نهی در مفهوم خود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به‌کاررفته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مانند ارشادی از حالت خود خارج نشده است.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نیست مولویت از این نهی گرفته شود.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مفسده این نهی نوعی مقایسه بوده و دارای مفسدیت ذاتی نیست.</w:t>
      </w:r>
    </w:p>
    <w:p w:rsidR="00233CA7" w:rsidRDefault="00233CA7" w:rsidP="00977344">
      <w:pPr>
        <w:pStyle w:val="Heading2"/>
        <w:rPr>
          <w:rtl/>
        </w:rPr>
      </w:pPr>
      <w:bookmarkStart w:id="9" w:name="_Toc431801747"/>
      <w:r>
        <w:rPr>
          <w:rFonts w:hint="cs"/>
          <w:rtl/>
        </w:rPr>
        <w:lastRenderedPageBreak/>
        <w:t>اتخاذ مبنا</w:t>
      </w:r>
      <w:bookmarkEnd w:id="9"/>
    </w:p>
    <w:p w:rsidR="00233CA7" w:rsidRDefault="00233CA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نظر 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>م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تقریر دوم،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صح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 حال این ناشی از چه بوده چندان از اهمیتی برخوردار نیست.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نوع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مصلحت و مفسده چندان در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جزء موضوع دخیل نیست بلکه موضوع نهی طلب ترک یا زجر است که ناشی از مفسده ذاتیه است.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استظهارت برگرفته از ارتکاز است.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کسی بگوید نوع مفسده ذاتیه دخیل بر موضوعیت است باید قائل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به‌نوعی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مجاز و خلع از ظاهر باشد که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</w:p>
    <w:p w:rsidR="00233CA7" w:rsidRDefault="00233CA7" w:rsidP="00977344">
      <w:pPr>
        <w:pStyle w:val="Heading2"/>
        <w:rPr>
          <w:rtl/>
        </w:rPr>
      </w:pPr>
      <w:bookmarkStart w:id="10" w:name="_Toc431801748"/>
      <w:r>
        <w:rPr>
          <w:rFonts w:hint="cs"/>
          <w:rtl/>
        </w:rPr>
        <w:t>حمل کلام قدماء</w:t>
      </w:r>
      <w:bookmarkEnd w:id="10"/>
    </w:p>
    <w:p w:rsidR="00233CA7" w:rsidRDefault="00233CA7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علاوه بر اینکه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برفرض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اول نیز چه دلیلی وجود دارد که حمل بر ارشاد شود؟ ارشادیت در اینجا تعین ندارد.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ترجیح با حفظ ظاهر نهی است و در مرتبه مفاسد فردی دیگر را انتخاب 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>م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حدس ما این است که کلام قدماء بر اقل ثواباً مجازیت و در مقابله با مولویت قصد نشده است.</w:t>
      </w:r>
    </w:p>
    <w:p w:rsidR="00233CA7" w:rsidRDefault="008655A3" w:rsidP="00977344">
      <w:pPr>
        <w:pStyle w:val="Heading2"/>
        <w:rPr>
          <w:rtl/>
        </w:rPr>
      </w:pPr>
      <w:bookmarkStart w:id="11" w:name="_Toc431801749"/>
      <w:r>
        <w:rPr>
          <w:rFonts w:hint="cs"/>
          <w:rtl/>
        </w:rPr>
        <w:t>راه‌حل</w:t>
      </w:r>
      <w:r w:rsidR="00233CA7">
        <w:rPr>
          <w:rFonts w:hint="cs"/>
          <w:rtl/>
        </w:rPr>
        <w:t xml:space="preserve"> سوم</w:t>
      </w:r>
      <w:bookmarkEnd w:id="11"/>
    </w:p>
    <w:p w:rsidR="00A032B9" w:rsidRDefault="008655A3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راه‌حل</w:t>
      </w:r>
      <w:r w:rsidR="00233CA7">
        <w:rPr>
          <w:rFonts w:ascii="IRBadr" w:hAnsi="IRBadr" w:cs="IRBadr" w:hint="cs"/>
          <w:sz w:val="28"/>
          <w:szCs w:val="28"/>
          <w:rtl/>
          <w:lang w:bidi="fa-IR"/>
        </w:rPr>
        <w:t xml:space="preserve"> مرحوم نائینی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 w:rsidR="00233CA7">
        <w:rPr>
          <w:rFonts w:ascii="IRBadr" w:hAnsi="IRBadr" w:cs="IRBadr" w:hint="cs"/>
          <w:sz w:val="28"/>
          <w:szCs w:val="28"/>
          <w:rtl/>
          <w:lang w:bidi="fa-IR"/>
        </w:rPr>
        <w:t xml:space="preserve"> در صوم یوم عاشورا مانند عبادت استیجاری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33CA7"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>
        <w:rPr>
          <w:rFonts w:ascii="IRBadr" w:hAnsi="IRBadr" w:cs="IRBadr" w:hint="cs"/>
          <w:sz w:val="28"/>
          <w:szCs w:val="28"/>
          <w:rtl/>
          <w:lang w:bidi="fa-IR"/>
        </w:rPr>
        <w:t>قابل‌تصور</w:t>
      </w:r>
      <w:r w:rsidR="00233CA7"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>
        <w:rPr>
          <w:rFonts w:ascii="IRBadr" w:hAnsi="IRBadr" w:cs="IRBadr"/>
          <w:sz w:val="28"/>
          <w:szCs w:val="28"/>
          <w:rtl/>
          <w:lang w:bidi="fa-IR"/>
        </w:rPr>
        <w:t>متعلق‌ها</w:t>
      </w:r>
      <w:r w:rsidR="00A032B9">
        <w:rPr>
          <w:rFonts w:ascii="IRBadr" w:hAnsi="IRBadr" w:cs="IRBadr" w:hint="cs"/>
          <w:sz w:val="28"/>
          <w:szCs w:val="28"/>
          <w:rtl/>
          <w:lang w:bidi="fa-IR"/>
        </w:rPr>
        <w:t xml:space="preserve"> متفاوت است که اشکالات متعددی به ایشان شد و در آنجا از آن پاسخ دادیم.</w:t>
      </w:r>
    </w:p>
    <w:p w:rsidR="00233CA7" w:rsidRDefault="00A032B9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ممکن است که بگوییم امر به صوم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به تتابع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گفته شد در قبال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هرروز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ایام سال خطابی مستقل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صلاة حمام این بیان جاری نگردد اما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655A3">
        <w:rPr>
          <w:rFonts w:ascii="IRBadr" w:hAnsi="IRBadr" w:cs="IRBadr"/>
          <w:sz w:val="28"/>
          <w:szCs w:val="28"/>
          <w:rtl/>
          <w:lang w:bidi="fa-IR"/>
        </w:rPr>
        <w:t>م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مصادیقی باشد.</w:t>
      </w:r>
    </w:p>
    <w:p w:rsidR="00A032B9" w:rsidRDefault="008655A3" w:rsidP="00977344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A032B9" w:rsidRDefault="00A032B9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نتیجه این است که قسم اول و دوم فرقی ندارد چراکه در هر دو سه </w:t>
      </w:r>
      <w:r w:rsidR="008655A3">
        <w:rPr>
          <w:rFonts w:ascii="IRBadr" w:hAnsi="IRBadr" w:cs="IRBadr" w:hint="cs"/>
          <w:sz w:val="28"/>
          <w:szCs w:val="28"/>
          <w:rtl/>
          <w:lang w:bidi="fa-IR"/>
        </w:rPr>
        <w:t>راه‌حل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و مهم این است که در مقام تطبیق با کدام ملاک از ملاکات مذکوره در روایات همخوانی دارد که نیازمند بررسی فقهی موردی است.</w:t>
      </w:r>
    </w:p>
    <w:p w:rsidR="00A032B9" w:rsidRDefault="00A032B9" w:rsidP="0097734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جداگانه دو قسم اول و دوم چندان وجهی ندارد هرچند که تقریر راه اقل ثواباً در مورد اول و دوم متفاوت بود.</w:t>
      </w:r>
    </w:p>
    <w:p w:rsidR="00F03DE7" w:rsidRDefault="00F03DE7" w:rsidP="00F03DE7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EC5F1D" w:rsidRPr="00EC5F1D" w:rsidRDefault="00EC5F1D" w:rsidP="00EC5F1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EC5F1D" w:rsidRPr="00EC5F1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14" w:rsidRDefault="00CF6214" w:rsidP="000D5800">
      <w:pPr>
        <w:spacing w:after="0" w:line="240" w:lineRule="auto"/>
      </w:pPr>
      <w:r>
        <w:separator/>
      </w:r>
    </w:p>
  </w:endnote>
  <w:endnote w:type="continuationSeparator" w:id="0">
    <w:p w:rsidR="00CF6214" w:rsidRDefault="00CF621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BC" w:rsidRDefault="00A50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BC" w:rsidRDefault="00A50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BC" w:rsidRDefault="00A5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14" w:rsidRDefault="00CF6214" w:rsidP="000D5800">
      <w:pPr>
        <w:spacing w:after="0" w:line="240" w:lineRule="auto"/>
      </w:pPr>
      <w:r>
        <w:separator/>
      </w:r>
    </w:p>
  </w:footnote>
  <w:footnote w:type="continuationSeparator" w:id="0">
    <w:p w:rsidR="00CF6214" w:rsidRDefault="00CF6214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BC" w:rsidRDefault="00A50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EC5F1D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D7B9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EC5F1D">
      <w:rPr>
        <w:rFonts w:ascii="IranNastaliq" w:hAnsi="IranNastaliq" w:cs="IranNastaliq" w:hint="cs"/>
        <w:sz w:val="40"/>
        <w:szCs w:val="40"/>
        <w:rtl/>
        <w:lang w:bidi="fa-IR"/>
      </w:rPr>
      <w:t>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BC" w:rsidRDefault="00A50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3CA7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655A3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77344"/>
    <w:rsid w:val="00980643"/>
    <w:rsid w:val="00992D2C"/>
    <w:rsid w:val="009B61C3"/>
    <w:rsid w:val="009C7B4F"/>
    <w:rsid w:val="009E588F"/>
    <w:rsid w:val="009F4EB3"/>
    <w:rsid w:val="00A032B9"/>
    <w:rsid w:val="00A06D48"/>
    <w:rsid w:val="00A21834"/>
    <w:rsid w:val="00A31C17"/>
    <w:rsid w:val="00A31FDE"/>
    <w:rsid w:val="00A35AC2"/>
    <w:rsid w:val="00A37C77"/>
    <w:rsid w:val="00A505BC"/>
    <w:rsid w:val="00A5418D"/>
    <w:rsid w:val="00A725C2"/>
    <w:rsid w:val="00A769EE"/>
    <w:rsid w:val="00A810A5"/>
    <w:rsid w:val="00A90ACB"/>
    <w:rsid w:val="00A9616A"/>
    <w:rsid w:val="00A96F68"/>
    <w:rsid w:val="00AA2342"/>
    <w:rsid w:val="00AA4FBE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06A2B"/>
    <w:rsid w:val="00C160AF"/>
    <w:rsid w:val="00C22299"/>
    <w:rsid w:val="00C25609"/>
    <w:rsid w:val="00C26607"/>
    <w:rsid w:val="00C60D75"/>
    <w:rsid w:val="00C60E1F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6214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5F1D"/>
    <w:rsid w:val="00EE1C07"/>
    <w:rsid w:val="00EE2C91"/>
    <w:rsid w:val="00EE3979"/>
    <w:rsid w:val="00EF138C"/>
    <w:rsid w:val="00F034CE"/>
    <w:rsid w:val="00F03DE7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B431-4D54-4F0A-97E4-99CBAE29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119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29</cp:revision>
  <dcterms:created xsi:type="dcterms:W3CDTF">2014-11-18T06:47:00Z</dcterms:created>
  <dcterms:modified xsi:type="dcterms:W3CDTF">2015-10-05T08:38:00Z</dcterms:modified>
</cp:coreProperties>
</file>