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F3" w:rsidRDefault="007F0AF3" w:rsidP="002355B2">
      <w:pPr>
        <w:bidi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F5F9C">
        <w:rPr>
          <w:rFonts w:ascii="IRBadr" w:hAnsi="IRBadr" w:cs="IRBadr" w:hint="cs"/>
          <w:sz w:val="28"/>
          <w:szCs w:val="28"/>
          <w:rtl/>
          <w:lang w:bidi="fa-IR"/>
        </w:rPr>
        <w:t xml:space="preserve"> الرحمن الرحیم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lang w:bidi="fa-IR"/>
        </w:rPr>
        <w:instrText>TOC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/>
          <w:sz w:val="28"/>
          <w:szCs w:val="28"/>
          <w:lang w:bidi="fa-IR"/>
        </w:rPr>
        <w:instrText>o "1-6"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7F0AF3" w:rsidRDefault="007F0AF3" w:rsidP="007F0AF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22" w:history="1">
        <w:r w:rsidRPr="00AD08D0">
          <w:rPr>
            <w:rStyle w:val="Hyperlink"/>
            <w:rFonts w:hint="eastAsia"/>
            <w:noProof/>
            <w:rtl/>
          </w:rPr>
          <w:t>اجتماع</w:t>
        </w:r>
        <w:r w:rsidRPr="00AD08D0">
          <w:rPr>
            <w:rStyle w:val="Hyperlink"/>
            <w:noProof/>
            <w:rtl/>
          </w:rPr>
          <w:t xml:space="preserve"> </w:t>
        </w:r>
        <w:r>
          <w:rPr>
            <w:rStyle w:val="Hyperlink"/>
            <w:rFonts w:hint="eastAsia"/>
            <w:noProof/>
            <w:rtl/>
          </w:rPr>
          <w:t>امرونهی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_Toc431809822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F0AF3" w:rsidRDefault="007F0AF3" w:rsidP="007F0AF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23" w:history="1">
        <w:r w:rsidRPr="00AD08D0">
          <w:rPr>
            <w:rStyle w:val="Hyperlink"/>
            <w:rFonts w:hint="eastAsia"/>
            <w:noProof/>
            <w:rtl/>
          </w:rPr>
          <w:t>قسم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_Toc431809823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F0AF3" w:rsidRDefault="007F0AF3" w:rsidP="007F0AF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24" w:history="1">
        <w:r w:rsidRPr="00AD08D0">
          <w:rPr>
            <w:rStyle w:val="Hyperlink"/>
            <w:rFonts w:hint="eastAsia"/>
            <w:noProof/>
            <w:rtl/>
          </w:rPr>
          <w:t>فروض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_Toc431809824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F0AF3" w:rsidRDefault="007F0AF3" w:rsidP="007F0AF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25" w:history="1">
        <w:r w:rsidRPr="00AD08D0">
          <w:rPr>
            <w:rStyle w:val="Hyperlink"/>
            <w:rFonts w:hint="eastAsia"/>
            <w:noProof/>
            <w:rtl/>
          </w:rPr>
          <w:t>فرض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_Toc431809825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F0AF3" w:rsidRDefault="007F0AF3" w:rsidP="007F0AF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26" w:history="1">
        <w:r w:rsidRPr="00AD08D0">
          <w:rPr>
            <w:rStyle w:val="Hyperlink"/>
            <w:rFonts w:hint="eastAsia"/>
            <w:noProof/>
            <w:rtl/>
          </w:rPr>
          <w:t>فرض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_Toc431809826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F0AF3" w:rsidRDefault="007F0AF3" w:rsidP="007F0AF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27" w:history="1">
        <w:r w:rsidRPr="00AD08D0">
          <w:rPr>
            <w:rStyle w:val="Hyperlink"/>
            <w:rFonts w:hint="eastAsia"/>
            <w:noProof/>
            <w:rtl/>
          </w:rPr>
          <w:t>ب</w:t>
        </w:r>
        <w:r w:rsidRPr="00AD08D0">
          <w:rPr>
            <w:rStyle w:val="Hyperlink"/>
            <w:rFonts w:hint="cs"/>
            <w:noProof/>
            <w:rtl/>
          </w:rPr>
          <w:t>ی</w:t>
        </w:r>
        <w:r w:rsidRPr="00AD08D0">
          <w:rPr>
            <w:rStyle w:val="Hyperlink"/>
            <w:rFonts w:hint="eastAsia"/>
            <w:noProof/>
            <w:rtl/>
          </w:rPr>
          <w:t>ان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کفا</w:t>
        </w:r>
        <w:r w:rsidRPr="00AD08D0">
          <w:rPr>
            <w:rStyle w:val="Hyperlink"/>
            <w:rFonts w:hint="cs"/>
            <w:noProof/>
            <w:rtl/>
          </w:rPr>
          <w:t>ی</w:t>
        </w:r>
        <w:r w:rsidRPr="00AD08D0">
          <w:rPr>
            <w:rStyle w:val="Hyperlink"/>
            <w:rFonts w:hint="eastAsia"/>
            <w:noProof/>
            <w:rtl/>
          </w:rPr>
          <w:t>ه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در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ا</w:t>
        </w:r>
        <w:r w:rsidRPr="00AD08D0">
          <w:rPr>
            <w:rStyle w:val="Hyperlink"/>
            <w:rFonts w:hint="cs"/>
            <w:noProof/>
            <w:rtl/>
          </w:rPr>
          <w:t>ی</w:t>
        </w:r>
        <w:r w:rsidRPr="00AD08D0">
          <w:rPr>
            <w:rStyle w:val="Hyperlink"/>
            <w:rFonts w:hint="eastAsia"/>
            <w:noProof/>
            <w:rtl/>
          </w:rPr>
          <w:t>ن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مقام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_Toc431809827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7F0AF3" w:rsidRDefault="007F0AF3" w:rsidP="007F0AF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28" w:history="1">
        <w:r w:rsidRPr="00AD08D0">
          <w:rPr>
            <w:rStyle w:val="Hyperlink"/>
            <w:rFonts w:hint="eastAsia"/>
            <w:noProof/>
            <w:rtl/>
          </w:rPr>
          <w:t>خطبه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اخلاق</w:t>
        </w:r>
        <w:r w:rsidRPr="00AD08D0">
          <w:rPr>
            <w:rStyle w:val="Hyperlink"/>
            <w:rFonts w:hint="cs"/>
            <w:noProof/>
            <w:rtl/>
          </w:rPr>
          <w:t>ی</w:t>
        </w:r>
        <w:r w:rsidRPr="00AD08D0">
          <w:rPr>
            <w:rStyle w:val="Hyperlink"/>
            <w:noProof/>
            <w:rtl/>
          </w:rPr>
          <w:t xml:space="preserve"> </w:t>
        </w:r>
        <w:r>
          <w:rPr>
            <w:rStyle w:val="Hyperlink"/>
            <w:rFonts w:hint="eastAsia"/>
            <w:noProof/>
            <w:rtl/>
          </w:rPr>
          <w:t>نهج‌البلاغه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_Toc431809828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7F0AF3" w:rsidRDefault="007F0AF3" w:rsidP="007F0AF3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29" w:history="1">
        <w:r w:rsidRPr="00AD08D0">
          <w:rPr>
            <w:rStyle w:val="Hyperlink"/>
            <w:rFonts w:hint="eastAsia"/>
            <w:noProof/>
            <w:rtl/>
          </w:rPr>
          <w:t>معرف</w:t>
        </w:r>
        <w:r w:rsidRPr="00AD08D0">
          <w:rPr>
            <w:rStyle w:val="Hyperlink"/>
            <w:rFonts w:hint="cs"/>
            <w:noProof/>
            <w:rtl/>
          </w:rPr>
          <w:t>ی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خطبه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_Toc431809829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7F0AF3" w:rsidRDefault="007F0AF3" w:rsidP="007F0AF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30" w:history="1">
        <w:r w:rsidRPr="00AD08D0">
          <w:rPr>
            <w:rStyle w:val="Hyperlink"/>
            <w:rFonts w:hint="eastAsia"/>
            <w:noProof/>
            <w:rtl/>
          </w:rPr>
          <w:t>شروع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خطبه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_Toc431809830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7F0AF3" w:rsidRDefault="007F0AF3" w:rsidP="007F0AF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31" w:history="1">
        <w:r w:rsidRPr="00AD08D0">
          <w:rPr>
            <w:rStyle w:val="Hyperlink"/>
            <w:rFonts w:hint="eastAsia"/>
            <w:noProof/>
            <w:rtl/>
          </w:rPr>
          <w:t>دل</w:t>
        </w:r>
        <w:r w:rsidRPr="00AD08D0">
          <w:rPr>
            <w:rStyle w:val="Hyperlink"/>
            <w:rFonts w:hint="cs"/>
            <w:noProof/>
            <w:rtl/>
          </w:rPr>
          <w:t>ی</w:t>
        </w:r>
        <w:r w:rsidRPr="00AD08D0">
          <w:rPr>
            <w:rStyle w:val="Hyperlink"/>
            <w:rFonts w:hint="eastAsia"/>
            <w:noProof/>
            <w:rtl/>
          </w:rPr>
          <w:t>ل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تفک</w:t>
        </w:r>
        <w:r w:rsidRPr="00AD08D0">
          <w:rPr>
            <w:rStyle w:val="Hyperlink"/>
            <w:rFonts w:hint="cs"/>
            <w:noProof/>
            <w:rtl/>
          </w:rPr>
          <w:t>ی</w:t>
        </w:r>
        <w:r w:rsidRPr="00AD08D0">
          <w:rPr>
            <w:rStyle w:val="Hyperlink"/>
            <w:rFonts w:hint="eastAsia"/>
            <w:noProof/>
            <w:rtl/>
          </w:rPr>
          <w:t>ک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دو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عامل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_Toc431809831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7F0AF3" w:rsidRDefault="007F0AF3" w:rsidP="007F0AF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32" w:history="1">
        <w:r w:rsidRPr="00AD08D0">
          <w:rPr>
            <w:rStyle w:val="Hyperlink"/>
            <w:rFonts w:hint="eastAsia"/>
            <w:noProof/>
            <w:rtl/>
          </w:rPr>
          <w:t>دن</w:t>
        </w:r>
        <w:r w:rsidRPr="00AD08D0">
          <w:rPr>
            <w:rStyle w:val="Hyperlink"/>
            <w:rFonts w:hint="cs"/>
            <w:noProof/>
            <w:rtl/>
          </w:rPr>
          <w:t>ی</w:t>
        </w:r>
        <w:r w:rsidRPr="00AD08D0">
          <w:rPr>
            <w:rStyle w:val="Hyperlink"/>
            <w:rFonts w:hint="eastAsia"/>
            <w:noProof/>
            <w:rtl/>
          </w:rPr>
          <w:t>ا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در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د</w:t>
        </w:r>
        <w:r w:rsidRPr="00AD08D0">
          <w:rPr>
            <w:rStyle w:val="Hyperlink"/>
            <w:rFonts w:hint="cs"/>
            <w:noProof/>
            <w:rtl/>
          </w:rPr>
          <w:t>ی</w:t>
        </w:r>
        <w:r w:rsidRPr="00AD08D0">
          <w:rPr>
            <w:rStyle w:val="Hyperlink"/>
            <w:rFonts w:hint="eastAsia"/>
            <w:noProof/>
            <w:rtl/>
          </w:rPr>
          <w:t>دگاه</w:t>
        </w:r>
        <w:r w:rsidRPr="00AD08D0">
          <w:rPr>
            <w:rStyle w:val="Hyperlink"/>
            <w:noProof/>
            <w:rtl/>
          </w:rPr>
          <w:t xml:space="preserve"> </w:t>
        </w:r>
        <w:r>
          <w:rPr>
            <w:rStyle w:val="Hyperlink"/>
            <w:rFonts w:hint="eastAsia"/>
            <w:noProof/>
            <w:rtl/>
          </w:rPr>
          <w:t>نهج‌البلاغه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_Toc431809832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7F0AF3" w:rsidRDefault="007F0AF3" w:rsidP="007F0AF3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809833" w:history="1">
        <w:r w:rsidRPr="00AD08D0">
          <w:rPr>
            <w:rStyle w:val="Hyperlink"/>
            <w:rFonts w:hint="eastAsia"/>
            <w:noProof/>
            <w:rtl/>
          </w:rPr>
          <w:t>گذر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دن</w:t>
        </w:r>
        <w:r w:rsidRPr="00AD08D0">
          <w:rPr>
            <w:rStyle w:val="Hyperlink"/>
            <w:rFonts w:hint="cs"/>
            <w:noProof/>
            <w:rtl/>
          </w:rPr>
          <w:t>ی</w:t>
        </w:r>
        <w:r w:rsidRPr="00AD08D0">
          <w:rPr>
            <w:rStyle w:val="Hyperlink"/>
            <w:rFonts w:hint="eastAsia"/>
            <w:noProof/>
            <w:rtl/>
          </w:rPr>
          <w:t>ا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و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اقبال</w:t>
        </w:r>
        <w:r w:rsidRPr="00AD08D0">
          <w:rPr>
            <w:rStyle w:val="Hyperlink"/>
            <w:noProof/>
            <w:rtl/>
          </w:rPr>
          <w:t xml:space="preserve"> </w:t>
        </w:r>
        <w:r w:rsidRPr="00AD08D0">
          <w:rPr>
            <w:rStyle w:val="Hyperlink"/>
            <w:rFonts w:hint="eastAsia"/>
            <w:noProof/>
            <w:rtl/>
          </w:rPr>
          <w:t>آخرت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_Toc431809833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355B2" w:rsidRDefault="007F0AF3" w:rsidP="002355B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355B2" w:rsidRDefault="002355B2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2D4F15" w:rsidRDefault="002D4F15" w:rsidP="002355B2">
      <w:pPr>
        <w:pStyle w:val="Heading1"/>
        <w:rPr>
          <w:rFonts w:hint="cs"/>
          <w:rtl/>
        </w:rPr>
      </w:pPr>
      <w:bookmarkStart w:id="0" w:name="_Toc431809822"/>
      <w:r>
        <w:rPr>
          <w:rFonts w:hint="cs"/>
          <w:rtl/>
        </w:rPr>
        <w:lastRenderedPageBreak/>
        <w:t xml:space="preserve">اجتماع </w:t>
      </w:r>
      <w:r w:rsidR="007F0AF3">
        <w:rPr>
          <w:rFonts w:hint="cs"/>
          <w:rtl/>
        </w:rPr>
        <w:t>امرونهی</w:t>
      </w:r>
      <w:bookmarkEnd w:id="0"/>
    </w:p>
    <w:p w:rsidR="002D4F15" w:rsidRDefault="002D4F15" w:rsidP="002355B2">
      <w:pPr>
        <w:pStyle w:val="Heading1"/>
        <w:rPr>
          <w:rtl/>
        </w:rPr>
      </w:pPr>
      <w:bookmarkStart w:id="1" w:name="_Toc431809823"/>
      <w:r>
        <w:rPr>
          <w:rFonts w:hint="cs"/>
          <w:rtl/>
        </w:rPr>
        <w:t>قسم سوم</w:t>
      </w:r>
      <w:bookmarkEnd w:id="1"/>
    </w:p>
    <w:p w:rsidR="00BF5F9C" w:rsidRDefault="00BF5F9C" w:rsidP="002355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برای قسم سوم به صلاة در موضع تهمت مثال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زده‌شده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نهی وجود دارد و نهی مفید کراهت است و برخلاف صلاة در حمام مرجوحیتی دارد و دارای منقصتی ذاتی است.</w:t>
      </w:r>
    </w:p>
    <w:p w:rsidR="002D4F15" w:rsidRDefault="002D4F15" w:rsidP="002355B2">
      <w:pPr>
        <w:pStyle w:val="Heading1"/>
        <w:rPr>
          <w:rFonts w:hint="cs"/>
          <w:rtl/>
        </w:rPr>
      </w:pPr>
      <w:bookmarkStart w:id="2" w:name="_Toc431809824"/>
      <w:r>
        <w:rPr>
          <w:rFonts w:hint="cs"/>
          <w:rtl/>
        </w:rPr>
        <w:t>فروض بحث</w:t>
      </w:r>
      <w:bookmarkEnd w:id="2"/>
    </w:p>
    <w:p w:rsidR="002D4F15" w:rsidRDefault="002D4F15" w:rsidP="002355B2">
      <w:pPr>
        <w:pStyle w:val="Heading1"/>
        <w:rPr>
          <w:rtl/>
        </w:rPr>
      </w:pPr>
      <w:bookmarkStart w:id="3" w:name="_Toc431809825"/>
      <w:r>
        <w:rPr>
          <w:rFonts w:hint="cs"/>
          <w:rtl/>
        </w:rPr>
        <w:t>فرض اول</w:t>
      </w:r>
      <w:bookmarkEnd w:id="3"/>
    </w:p>
    <w:p w:rsidR="00BF5F9C" w:rsidRDefault="00BF5F9C" w:rsidP="002355B2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فروضی وجود دارد؛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فرض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اول این است که برای دو طرف دلیل وجود داشته باشد.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فرض دقیقاً فرض اجتماع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تشکیل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م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صورت باید دید مبنا در اجتماع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چیست؟</w:t>
      </w:r>
    </w:p>
    <w:p w:rsidR="002D4F15" w:rsidRDefault="002D4F15" w:rsidP="002355B2">
      <w:pPr>
        <w:pStyle w:val="Heading1"/>
        <w:rPr>
          <w:rFonts w:hint="cs"/>
          <w:rtl/>
        </w:rPr>
      </w:pPr>
      <w:bookmarkStart w:id="4" w:name="_Toc431809826"/>
      <w:r>
        <w:rPr>
          <w:rFonts w:hint="cs"/>
          <w:rtl/>
        </w:rPr>
        <w:t>فرض دوم</w:t>
      </w:r>
      <w:bookmarkEnd w:id="4"/>
    </w:p>
    <w:p w:rsidR="002D4F15" w:rsidRDefault="00BF5F9C" w:rsidP="002355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فرض دوم این است که دلیل خاص بگوید در مواضع تهمت نماز نخوانید،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طبعاً بیشتر قسم دوم مقصود است.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مطلب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دومی که باید در اینجا بیشتر بدان توجه داشت که این حالت دوم بیشتر در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تنزیهی است که مشهور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قائل‌اند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نوع از حالت مصداق بحث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است؛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نهی با امر تضاد داشته و قابل اجتماع نیست.</w:t>
      </w:r>
    </w:p>
    <w:p w:rsidR="00BF5F9C" w:rsidRDefault="00BF5F9C" w:rsidP="002355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اگر کسی این مبنا را نپذیرد و طبق مبنای ما قائل باشد،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 با یکدیگر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قابل‌جمع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هستند،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وجود نخواهد داشت و این امر حالتی قابل دفاع است.</w:t>
      </w:r>
    </w:p>
    <w:p w:rsidR="002D4F15" w:rsidRDefault="002D4F15" w:rsidP="002355B2">
      <w:pPr>
        <w:pStyle w:val="Heading1"/>
        <w:rPr>
          <w:rtl/>
        </w:rPr>
      </w:pPr>
      <w:bookmarkStart w:id="5" w:name="_Toc431809827"/>
      <w:r>
        <w:rPr>
          <w:rFonts w:hint="cs"/>
          <w:rtl/>
        </w:rPr>
        <w:t>بیان کفایه در این مقام</w:t>
      </w:r>
      <w:bookmarkEnd w:id="5"/>
    </w:p>
    <w:p w:rsidR="002D4F15" w:rsidRDefault="002D4F15" w:rsidP="002355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میان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کفایة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مطرح‌شده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این بحث را مبتنی به قول به جواز و امتناع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برشمرده‌اند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صورت جواز باید گفت نهی در اینجا بالعرض و مجاز یا از باب ارشاد است.</w:t>
      </w:r>
    </w:p>
    <w:p w:rsidR="002D4F15" w:rsidRDefault="002D4F15" w:rsidP="002355B2">
      <w:pPr>
        <w:pStyle w:val="Heading1"/>
        <w:rPr>
          <w:rFonts w:hint="cs"/>
          <w:rtl/>
        </w:rPr>
      </w:pPr>
      <w:bookmarkStart w:id="6" w:name="_Toc431809828"/>
      <w:r>
        <w:rPr>
          <w:rFonts w:hint="cs"/>
          <w:rtl/>
        </w:rPr>
        <w:lastRenderedPageBreak/>
        <w:t xml:space="preserve">خطبه اخلاقی </w:t>
      </w:r>
      <w:r w:rsidR="007F0AF3">
        <w:rPr>
          <w:rFonts w:hint="cs"/>
          <w:rtl/>
        </w:rPr>
        <w:t>نهج‌البلاغه</w:t>
      </w:r>
      <w:bookmarkEnd w:id="6"/>
    </w:p>
    <w:p w:rsidR="00B965EE" w:rsidRDefault="00B965EE" w:rsidP="002355B2">
      <w:pPr>
        <w:pStyle w:val="Heading1"/>
        <w:rPr>
          <w:rtl/>
        </w:rPr>
      </w:pPr>
      <w:bookmarkStart w:id="7" w:name="_Toc431809829"/>
      <w:r>
        <w:rPr>
          <w:rFonts w:hint="cs"/>
          <w:rtl/>
        </w:rPr>
        <w:t>معرفی خطبه</w:t>
      </w:r>
      <w:bookmarkEnd w:id="7"/>
    </w:p>
    <w:p w:rsidR="002D4F15" w:rsidRDefault="002D4F15" w:rsidP="002355B2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خطبه 42 بوده و مشتمل بر مطلب بسیار مشهوری است.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روایت هم در عامه و در خاصه وجود دارد و از نبی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اکرم (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ص) و سایر ائمه اطهار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پاورقی وجود دارد که از کافی و خصال و کتب دیگری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B965EE" w:rsidRDefault="00B965EE" w:rsidP="002355B2">
      <w:pPr>
        <w:pStyle w:val="Heading2"/>
        <w:rPr>
          <w:rtl/>
        </w:rPr>
      </w:pPr>
      <w:bookmarkStart w:id="8" w:name="_Toc431809830"/>
      <w:r>
        <w:rPr>
          <w:rFonts w:hint="cs"/>
          <w:rtl/>
        </w:rPr>
        <w:t>شروع خطبه</w:t>
      </w:r>
      <w:bookmarkEnd w:id="8"/>
    </w:p>
    <w:p w:rsidR="002D4F15" w:rsidRDefault="002D4F15" w:rsidP="002355B2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امام در این خطبه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م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>؛</w:t>
      </w:r>
    </w:p>
    <w:p w:rsidR="002355B2" w:rsidRPr="002355B2" w:rsidRDefault="002355B2" w:rsidP="002355B2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أَ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هَا النَّاسُ إِنَّ أَخْوَفَ مَا أَخَافُ عَلَ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یک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 اثْنَانِ اتِّبَاعُ الْهَوَ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طُولُ الْأَمَلِ فَأَمَّا اتِّبَاعُ الْهَوَ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فَ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صُدُّ عَنِ الْحَقِّ وَ أَمَّا طُولُ الْأَمَلِ فَ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نْسِ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الْآخِرَةَ أَلَا وَ إِنَّ الدُّنْ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 قَدْ وَلَّتْ حَذَّاءَ فَلَمْ 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بْقَ مِنْهَا إِلَّا صُبَابَةٌ 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صُبَابَةِ الْإِنَاءِ اصْطَبَّهَا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صَابُّهَا أَلَا وَ إِنَّ الْآخِرَةَ قَدْ أَقْبَلَتْ وَ لِ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لٍّ مِنْهُمَا بَنُونَ فَ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ونُوا مِنْ أَبْنَاءِ الْآخِرَةِ وَ لَا تَ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ونُوا مِنْ أَبْنَاءِ الدُّنْ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ا فَإِنَّ 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لَّ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وَلَدٍ سَ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لْحَقُ بِأَبِ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هِ 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وْمَ الْقِ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امَةِ وَ إِنَّ الْ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355B2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وْمَ عَمَلٌ وَ لَا حِسَابَ وَ غَداً حِسَابٌ وَ لَا </w:t>
      </w:r>
      <w:r w:rsidR="007F0AF3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عَمَلَ»</w:t>
      </w:r>
      <w:r w:rsidRPr="002355B2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2D4F15" w:rsidRDefault="002D4F15" w:rsidP="002355B2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بیشترین چیزی که از آن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م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ی‌ترسم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فردی به دنبال خواسته نفس و طول آرزو راه بیفتد.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 دو این دو یکی است و آن تغلیب هوی بر فطرت است.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چرا در اینجا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جداشده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است؟</w:t>
      </w:r>
    </w:p>
    <w:p w:rsidR="00B965EE" w:rsidRDefault="00B965EE" w:rsidP="002355B2">
      <w:pPr>
        <w:pStyle w:val="Heading2"/>
        <w:rPr>
          <w:rtl/>
        </w:rPr>
      </w:pPr>
      <w:bookmarkStart w:id="10" w:name="_Toc431809831"/>
      <w:r>
        <w:rPr>
          <w:rFonts w:hint="cs"/>
          <w:rtl/>
        </w:rPr>
        <w:t>دلیل تفکیک دو عامل</w:t>
      </w:r>
      <w:bookmarkEnd w:id="10"/>
    </w:p>
    <w:p w:rsidR="002D4F15" w:rsidRDefault="002D4F15" w:rsidP="002355B2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دلیل آن این بوده که هوای نفس وضع فعلی شخص است که میل به معصیتی او را به سمت گناه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م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ی‌برد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دلیل پیچیدگی ساختار،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روح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عقل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معرفتی او قسم دوم نقل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م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فرد برای آینده خود در نظر گرفته است،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بس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یاری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انحرافات بشر روی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آ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ینده‌های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شیطانی است که امروز او را شیطانی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م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ی‌گرداند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D4F15" w:rsidRDefault="002D4F15" w:rsidP="002355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زمانی که افق آینده را شیطانی ترسیم نمود دیگر برای او آخرتی باقی نخواهد ماند.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آینده‌نگری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امتیازات بشر است،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محوریت شیطان در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آینده‌جویی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مورد مذمت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</w:p>
    <w:p w:rsidR="00B965EE" w:rsidRDefault="00B965EE" w:rsidP="002355B2">
      <w:pPr>
        <w:pStyle w:val="Heading2"/>
        <w:rPr>
          <w:rtl/>
        </w:rPr>
      </w:pPr>
      <w:bookmarkStart w:id="11" w:name="_Toc431809832"/>
      <w:r>
        <w:rPr>
          <w:rFonts w:hint="cs"/>
          <w:rtl/>
        </w:rPr>
        <w:lastRenderedPageBreak/>
        <w:t xml:space="preserve">دنیا در دیدگاه </w:t>
      </w:r>
      <w:r w:rsidR="007F0AF3">
        <w:rPr>
          <w:rFonts w:hint="cs"/>
          <w:rtl/>
        </w:rPr>
        <w:t>نهج‌البلاغه</w:t>
      </w:r>
      <w:bookmarkEnd w:id="11"/>
    </w:p>
    <w:p w:rsidR="002D4F15" w:rsidRDefault="002D4F15" w:rsidP="002355B2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این روایت که دارای استفاضه است به دو عامل اتباع هوی و طول امل اشاره نموده که یکی از آن دو به وضع امروز فرد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و دیگری به حال آینده فرد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برمی‌گردد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همه در درون او قرار دارد.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ادامه دو مضمون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م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نهج‌البلاغه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بارها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مورداشاره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آن دو این است که؛</w:t>
      </w:r>
    </w:p>
    <w:p w:rsidR="002D4F15" w:rsidRDefault="002D4F15" w:rsidP="002355B2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دنیا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به‌سرعت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حال گذر است که امام دائم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تربیتی تلاش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م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حقیقت را در ذهن فرد مجسم نگه دارد،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گذر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آن‌قدر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سریع بوده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که</w:t>
      </w:r>
      <w:r w:rsidR="00B965EE">
        <w:rPr>
          <w:rFonts w:ascii="IRBadr" w:hAnsi="IRBadr" w:cs="IRBadr" w:hint="cs"/>
          <w:sz w:val="28"/>
          <w:szCs w:val="28"/>
          <w:rtl/>
          <w:lang w:bidi="fa-IR"/>
        </w:rPr>
        <w:t xml:space="preserve"> گویا گذشته است.</w:t>
      </w:r>
    </w:p>
    <w:p w:rsidR="00B965EE" w:rsidRDefault="00B965EE" w:rsidP="002355B2">
      <w:pPr>
        <w:pStyle w:val="Heading2"/>
        <w:rPr>
          <w:rtl/>
        </w:rPr>
      </w:pPr>
      <w:bookmarkStart w:id="12" w:name="_Toc431809833"/>
      <w:r>
        <w:rPr>
          <w:rFonts w:hint="cs"/>
          <w:rtl/>
        </w:rPr>
        <w:t>گذر دنیا و اقبال آخرت</w:t>
      </w:r>
      <w:bookmarkEnd w:id="12"/>
    </w:p>
    <w:p w:rsidR="00B965EE" w:rsidRDefault="00B965EE" w:rsidP="002355B2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نهج‌البلاغه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بیش از بیست تشبیه در قبال دنیا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م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یافت که هریک تصویر زیبای خاصی را مطرح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م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یکی از آن موارد،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که؛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وقت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لیوان آب آشامیده شود،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قطره در ته ظرف باقی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م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ی‌ماند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دنیا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بدین 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به‌شدت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ناچیز است.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آن‌قدر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دنیا نزد خداوند پست است که خداوند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یک‌لحظه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بدان نظر ننموده است.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همه عظمت در مقابل آخرت و حقیقت هستی چیزی ندارد.</w:t>
      </w:r>
    </w:p>
    <w:p w:rsidR="00B965EE" w:rsidRDefault="00B965EE" w:rsidP="002355B2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 منظری دیگر عمر افراد در دنیا چنین حالتی را دارد.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برا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شما در دام آن دو امر مخوف قرار نگیرید بدانید که دنیا چنین خصوصیتی دارد و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خواسته‌ها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شما در پی این 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>خواسته‌ها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معنوی خواهد شد.</w:t>
      </w:r>
      <w:r w:rsidR="007F0AF3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طرفی دیگر آخرت نیز آمده است و برای هریک از دنیا و آخرت فرزندانی وجود دارد.</w:t>
      </w:r>
    </w:p>
    <w:p w:rsidR="00B965EE" w:rsidRDefault="00B965EE" w:rsidP="002355B2">
      <w:pPr>
        <w:bidi/>
        <w:spacing w:line="360" w:lineRule="auto"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پس بکوشید تعلق شما به آخرت باشد چراکه هر ولدی روز قیامت به ریشه و مادر خود </w:t>
      </w:r>
      <w:r w:rsidR="007F0AF3">
        <w:rPr>
          <w:rFonts w:ascii="IRBadr" w:hAnsi="IRBadr" w:cs="IRBadr" w:hint="cs"/>
          <w:sz w:val="28"/>
          <w:szCs w:val="28"/>
          <w:rtl/>
          <w:lang w:bidi="fa-IR"/>
        </w:rPr>
        <w:t>بازمی‌گردد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F5F9C" w:rsidRPr="00BF5F9C" w:rsidRDefault="00BF5F9C" w:rsidP="002355B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BF5F9C" w:rsidRPr="00BF5F9C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DA" w:rsidRDefault="001425DA" w:rsidP="000D5800">
      <w:pPr>
        <w:spacing w:after="0" w:line="240" w:lineRule="auto"/>
      </w:pPr>
      <w:r>
        <w:separator/>
      </w:r>
    </w:p>
  </w:endnote>
  <w:endnote w:type="continuationSeparator" w:id="0">
    <w:p w:rsidR="001425DA" w:rsidRDefault="001425D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F3" w:rsidRDefault="007F0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F3" w:rsidRDefault="007F0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F3" w:rsidRDefault="007F0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DA" w:rsidRDefault="001425DA" w:rsidP="002355B2">
      <w:pPr>
        <w:spacing w:after="0" w:line="240" w:lineRule="auto"/>
        <w:jc w:val="right"/>
      </w:pPr>
      <w:r>
        <w:separator/>
      </w:r>
    </w:p>
  </w:footnote>
  <w:footnote w:type="continuationSeparator" w:id="0">
    <w:p w:rsidR="001425DA" w:rsidRDefault="001425DA" w:rsidP="000D5800">
      <w:pPr>
        <w:spacing w:after="0" w:line="240" w:lineRule="auto"/>
      </w:pPr>
      <w:r>
        <w:continuationSeparator/>
      </w:r>
    </w:p>
  </w:footnote>
  <w:footnote w:id="1">
    <w:p w:rsidR="002355B2" w:rsidRDefault="002355B2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bookmarkStart w:id="9" w:name="_GoBack"/>
      <w:r w:rsidRPr="002355B2">
        <w:rPr>
          <w:rFonts w:ascii="IRBadr" w:hAnsi="IRBadr" w:cs="IRBadr"/>
          <w:color w:val="000000" w:themeColor="text1"/>
          <w:rtl/>
        </w:rPr>
        <w:t>نهج</w:t>
      </w:r>
      <w:bookmarkEnd w:id="9"/>
      <w:r w:rsidRPr="002355B2">
        <w:rPr>
          <w:rFonts w:ascii="IRBadr" w:hAnsi="IRBadr" w:cs="IRBadr"/>
          <w:color w:val="000000" w:themeColor="text1"/>
          <w:rtl/>
        </w:rPr>
        <w:t xml:space="preserve"> البلاغة؛ ص: 49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F3" w:rsidRDefault="007F0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F5F9C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483FDC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</w:t>
    </w:r>
    <w:r w:rsidR="00BF5F9C">
      <w:rPr>
        <w:rFonts w:ascii="IranNastaliq" w:hAnsi="IranNastaliq" w:cs="IranNastaliq" w:hint="cs"/>
        <w:sz w:val="40"/>
        <w:szCs w:val="40"/>
        <w:rtl/>
        <w:lang w:bidi="fa-IR"/>
      </w:rPr>
      <w:t>26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AF3" w:rsidRDefault="007F0A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425DA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55B2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D4F15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0AF3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D0304"/>
    <w:rsid w:val="00AD27BE"/>
    <w:rsid w:val="00AF0F1A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965EE"/>
    <w:rsid w:val="00BB5F7E"/>
    <w:rsid w:val="00BB6A1C"/>
    <w:rsid w:val="00BC26F6"/>
    <w:rsid w:val="00BD3122"/>
    <w:rsid w:val="00BD40DA"/>
    <w:rsid w:val="00BF5F9C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94C4B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C512-C930-4CBB-9476-3BB8C09E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113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24</cp:revision>
  <dcterms:created xsi:type="dcterms:W3CDTF">2014-11-18T06:47:00Z</dcterms:created>
  <dcterms:modified xsi:type="dcterms:W3CDTF">2015-10-05T08:34:00Z</dcterms:modified>
</cp:coreProperties>
</file>