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CF" w:rsidRDefault="005455BA" w:rsidP="000341CF">
      <w:pPr>
        <w:bidi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AA24A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AA24A4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0341CF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0341C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0341CF">
        <w:rPr>
          <w:rFonts w:ascii="IRBadr" w:hAnsi="IRBadr" w:cs="IRBadr"/>
          <w:sz w:val="28"/>
          <w:szCs w:val="28"/>
          <w:lang w:bidi="fa-IR"/>
        </w:rPr>
        <w:instrText>TOC</w:instrText>
      </w:r>
      <w:r w:rsidR="000341CF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0341CF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0341C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0341CF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78" w:history="1">
        <w:r w:rsidR="000341CF" w:rsidRPr="00C41843">
          <w:rPr>
            <w:rStyle w:val="Hyperlink"/>
            <w:rFonts w:hint="eastAsia"/>
            <w:noProof/>
            <w:rtl/>
          </w:rPr>
          <w:t>اجتماع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5455BA">
          <w:rPr>
            <w:rStyle w:val="Hyperlink"/>
            <w:rFonts w:hint="eastAsia"/>
            <w:noProof/>
            <w:rtl/>
          </w:rPr>
          <w:t>امرونهی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_Toc431912378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2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79" w:history="1">
        <w:r w:rsidR="000341CF" w:rsidRPr="00C41843">
          <w:rPr>
            <w:rStyle w:val="Hyperlink"/>
            <w:rFonts w:hint="eastAsia"/>
            <w:noProof/>
            <w:rtl/>
          </w:rPr>
          <w:t>قسم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ثالث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_Toc431912379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2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0" w:history="1">
        <w:r w:rsidR="000341CF" w:rsidRPr="00C41843">
          <w:rPr>
            <w:rStyle w:val="Hyperlink"/>
            <w:rFonts w:hint="eastAsia"/>
            <w:noProof/>
            <w:rtl/>
          </w:rPr>
          <w:t>روا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ات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نه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از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برخ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صلوات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_Toc431912380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2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1" w:history="1">
        <w:r w:rsidR="000341CF" w:rsidRPr="00C41843">
          <w:rPr>
            <w:rStyle w:val="Hyperlink"/>
            <w:rFonts w:hint="eastAsia"/>
            <w:noProof/>
            <w:rtl/>
          </w:rPr>
          <w:t>تشر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ح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قسم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سوم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_Toc431912381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2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2" w:history="1">
        <w:r w:rsidR="000341CF" w:rsidRPr="00C41843">
          <w:rPr>
            <w:rStyle w:val="Hyperlink"/>
            <w:rFonts w:hint="eastAsia"/>
            <w:noProof/>
            <w:rtl/>
          </w:rPr>
          <w:t>علت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تفک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ک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دو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قسم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_Toc431912382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2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3" w:history="1">
        <w:r w:rsidR="000341CF" w:rsidRPr="00C41843">
          <w:rPr>
            <w:rStyle w:val="Hyperlink"/>
            <w:rFonts w:hint="eastAsia"/>
            <w:noProof/>
            <w:rtl/>
          </w:rPr>
          <w:t>ب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ان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کفا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ه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در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ن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مقام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_Toc431912383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3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4" w:history="1">
        <w:r w:rsidR="000341CF" w:rsidRPr="00C41843">
          <w:rPr>
            <w:rStyle w:val="Hyperlink"/>
            <w:rFonts w:hint="eastAsia"/>
            <w:noProof/>
            <w:rtl/>
          </w:rPr>
          <w:t>عل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ت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بحث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_Toc431912384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3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5" w:history="1">
        <w:r w:rsidR="000341CF" w:rsidRPr="00C41843">
          <w:rPr>
            <w:rStyle w:val="Hyperlink"/>
            <w:rFonts w:hint="eastAsia"/>
            <w:noProof/>
            <w:rtl/>
          </w:rPr>
          <w:t>بحث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در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فروض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امتناع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و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اجتماع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_Toc431912385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3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6" w:history="1">
        <w:r w:rsidR="000341CF" w:rsidRPr="00C41843">
          <w:rPr>
            <w:rStyle w:val="Hyperlink"/>
            <w:rFonts w:hint="eastAsia"/>
            <w:noProof/>
            <w:rtl/>
          </w:rPr>
          <w:t>تصر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ح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به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منقصت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در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روا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ات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_Toc431912386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3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7" w:history="1">
        <w:r w:rsidR="005455BA">
          <w:rPr>
            <w:rStyle w:val="Hyperlink"/>
            <w:rFonts w:hint="eastAsia"/>
            <w:noProof/>
            <w:rtl/>
          </w:rPr>
          <w:t>جمع‌بندی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_Toc431912387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4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8" w:history="1">
        <w:r w:rsidR="000341CF" w:rsidRPr="00C41843">
          <w:rPr>
            <w:rStyle w:val="Hyperlink"/>
            <w:rFonts w:hint="eastAsia"/>
            <w:noProof/>
            <w:rtl/>
          </w:rPr>
          <w:t>قائل</w:t>
        </w:r>
        <w:r w:rsidR="000341CF" w:rsidRPr="00C41843">
          <w:rPr>
            <w:rStyle w:val="Hyperlink"/>
            <w:rFonts w:hint="cs"/>
            <w:noProof/>
            <w:rtl/>
          </w:rPr>
          <w:t>ی</w:t>
        </w:r>
        <w:r w:rsidR="000341CF" w:rsidRPr="00C41843">
          <w:rPr>
            <w:rStyle w:val="Hyperlink"/>
            <w:rFonts w:hint="eastAsia"/>
            <w:noProof/>
            <w:rtl/>
          </w:rPr>
          <w:t>ن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به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اجتماع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و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امتناع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در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معاصر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_Toc431912388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4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89" w:history="1">
        <w:r w:rsidR="000341CF" w:rsidRPr="00C41843">
          <w:rPr>
            <w:rStyle w:val="Hyperlink"/>
            <w:rFonts w:hint="eastAsia"/>
            <w:noProof/>
            <w:rtl/>
          </w:rPr>
          <w:t>وجه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پنجم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_Toc431912389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4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90" w:history="1">
        <w:r w:rsidR="000341CF" w:rsidRPr="00C41843">
          <w:rPr>
            <w:rStyle w:val="Hyperlink"/>
            <w:rFonts w:hint="eastAsia"/>
            <w:noProof/>
            <w:rtl/>
          </w:rPr>
          <w:t>اجوبه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استدلال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فوق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_Toc431912390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5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91" w:history="1">
        <w:r w:rsidR="000341CF" w:rsidRPr="00C41843">
          <w:rPr>
            <w:rStyle w:val="Hyperlink"/>
            <w:rFonts w:hint="eastAsia"/>
            <w:noProof/>
            <w:rtl/>
          </w:rPr>
          <w:t>جواب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اول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_Toc431912391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5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92" w:history="1">
        <w:r w:rsidR="000341CF" w:rsidRPr="00C41843">
          <w:rPr>
            <w:rStyle w:val="Hyperlink"/>
            <w:rFonts w:hint="eastAsia"/>
            <w:noProof/>
            <w:rtl/>
          </w:rPr>
          <w:t>اتخاذ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مبنا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_Toc431912392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5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FA695C" w:rsidP="000341C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2393" w:history="1">
        <w:r w:rsidR="000341CF" w:rsidRPr="00C41843">
          <w:rPr>
            <w:rStyle w:val="Hyperlink"/>
            <w:rFonts w:hint="eastAsia"/>
            <w:noProof/>
            <w:rtl/>
          </w:rPr>
          <w:t>جواب</w:t>
        </w:r>
        <w:r w:rsidR="000341CF" w:rsidRPr="00C41843">
          <w:rPr>
            <w:rStyle w:val="Hyperlink"/>
            <w:noProof/>
            <w:rtl/>
          </w:rPr>
          <w:t xml:space="preserve"> </w:t>
        </w:r>
        <w:r w:rsidR="000341CF" w:rsidRPr="00C41843">
          <w:rPr>
            <w:rStyle w:val="Hyperlink"/>
            <w:rFonts w:hint="eastAsia"/>
            <w:noProof/>
            <w:rtl/>
          </w:rPr>
          <w:t>دوم</w:t>
        </w:r>
        <w:r w:rsidR="000341CF">
          <w:rPr>
            <w:noProof/>
            <w:webHidden/>
          </w:rPr>
          <w:tab/>
        </w:r>
        <w:r w:rsidR="000341CF">
          <w:rPr>
            <w:rStyle w:val="Hyperlink"/>
            <w:noProof/>
            <w:rtl/>
          </w:rPr>
          <w:fldChar w:fldCharType="begin"/>
        </w:r>
        <w:r w:rsidR="000341CF">
          <w:rPr>
            <w:noProof/>
            <w:webHidden/>
          </w:rPr>
          <w:instrText xml:space="preserve"> PAGEREF _Toc431912393 \h </w:instrText>
        </w:r>
        <w:r w:rsidR="000341CF">
          <w:rPr>
            <w:rStyle w:val="Hyperlink"/>
            <w:noProof/>
            <w:rtl/>
          </w:rPr>
        </w:r>
        <w:r w:rsidR="000341CF">
          <w:rPr>
            <w:rStyle w:val="Hyperlink"/>
            <w:noProof/>
            <w:rtl/>
          </w:rPr>
          <w:fldChar w:fldCharType="separate"/>
        </w:r>
        <w:r w:rsidR="000341CF">
          <w:rPr>
            <w:noProof/>
            <w:webHidden/>
          </w:rPr>
          <w:t>5</w:t>
        </w:r>
        <w:r w:rsidR="000341CF">
          <w:rPr>
            <w:rStyle w:val="Hyperlink"/>
            <w:noProof/>
            <w:rtl/>
          </w:rPr>
          <w:fldChar w:fldCharType="end"/>
        </w:r>
      </w:hyperlink>
    </w:p>
    <w:p w:rsidR="000341CF" w:rsidRDefault="000341CF" w:rsidP="000341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341CF" w:rsidRDefault="000341CF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A24A4" w:rsidRDefault="00AA24A4" w:rsidP="000341CF">
      <w:pPr>
        <w:pStyle w:val="Heading1"/>
        <w:rPr>
          <w:rtl/>
        </w:rPr>
      </w:pPr>
      <w:bookmarkStart w:id="1" w:name="_Toc431912378"/>
      <w:r>
        <w:rPr>
          <w:rFonts w:hint="cs"/>
          <w:rtl/>
        </w:rPr>
        <w:lastRenderedPageBreak/>
        <w:t xml:space="preserve">اجتماع </w:t>
      </w:r>
      <w:r w:rsidR="005455BA">
        <w:rPr>
          <w:rFonts w:hint="cs"/>
          <w:rtl/>
        </w:rPr>
        <w:t>امرونهی</w:t>
      </w:r>
      <w:bookmarkEnd w:id="1"/>
    </w:p>
    <w:p w:rsidR="00AA24A4" w:rsidRDefault="00AA24A4" w:rsidP="000341CF">
      <w:pPr>
        <w:pStyle w:val="Heading1"/>
        <w:rPr>
          <w:rtl/>
        </w:rPr>
      </w:pPr>
      <w:bookmarkStart w:id="2" w:name="_Toc431912379"/>
      <w:r>
        <w:rPr>
          <w:rFonts w:hint="cs"/>
          <w:rtl/>
        </w:rPr>
        <w:t>قسم ثالث</w:t>
      </w:r>
      <w:bookmarkEnd w:id="2"/>
    </w:p>
    <w:p w:rsidR="00AA24A4" w:rsidRDefault="00517C6B" w:rsidP="000341CF">
      <w:pPr>
        <w:pStyle w:val="Heading1"/>
        <w:rPr>
          <w:rtl/>
        </w:rPr>
      </w:pPr>
      <w:bookmarkStart w:id="3" w:name="_Toc431912380"/>
      <w:r>
        <w:rPr>
          <w:rFonts w:hint="cs"/>
          <w:rtl/>
        </w:rPr>
        <w:t>روایات نهی از برخی صلوات</w:t>
      </w:r>
      <w:bookmarkEnd w:id="3"/>
    </w:p>
    <w:p w:rsidR="00AA24A4" w:rsidRDefault="00AA24A4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قسم ثالث بود.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متعددی از وسائل وجود دارد که از مواردی از نماز نهی شده مانند نماز در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خانه‌ای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آن کلب است،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صلاة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اسطبل‌ها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، روبه روی زن،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صلاة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طریق،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قبرها،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رو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برف یا آتش،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صلاة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خانه‌ای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آن تمثال وجود دارد و ...</w:t>
      </w:r>
    </w:p>
    <w:p w:rsidR="00AA24A4" w:rsidRDefault="00AA24A4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در باب صوم نیز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برخی از طوایف آن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قابل‌جمع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برخی دارای تعارض اولیه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 xml:space="preserve"> در صلاة بسیار بیشتر از ابو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اب دیگر است که در قبال آن نهی تنزیهی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خاطر اهمیت و کثرت مصادیق به آن پرداخته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17C6B" w:rsidRDefault="00517C6B" w:rsidP="000341CF">
      <w:pPr>
        <w:pStyle w:val="Heading1"/>
        <w:rPr>
          <w:rtl/>
        </w:rPr>
      </w:pPr>
      <w:bookmarkStart w:id="4" w:name="_Toc431912381"/>
      <w:r>
        <w:rPr>
          <w:rFonts w:hint="cs"/>
          <w:rtl/>
        </w:rPr>
        <w:t>تشریح قسم سوم</w:t>
      </w:r>
      <w:bookmarkEnd w:id="4"/>
    </w:p>
    <w:p w:rsidR="00517C6B" w:rsidRDefault="00AA24A4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قسم سوم چنین خصوصیتی دارد که ظاهر آن همانند قسم دوم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نهی از نماز در مواضع تهمت است که خصوصیت به خاطر همراهی با نماز نهی به آن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موارد برخی از عناوین هستند که کراهت در ذات خود فعل نیز وجود دارد.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قسم سوم است.</w:t>
      </w:r>
    </w:p>
    <w:p w:rsidR="00517C6B" w:rsidRDefault="00AA24A4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برخلاف قسم دوم که در خود شیء وراء همراهی با نماز دارای نهی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از نماز در مواضع وجود خمر نیز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موارد باشد.</w:t>
      </w:r>
    </w:p>
    <w:p w:rsidR="00517C6B" w:rsidRDefault="00517C6B" w:rsidP="000341CF">
      <w:pPr>
        <w:pStyle w:val="Heading1"/>
        <w:rPr>
          <w:rtl/>
        </w:rPr>
      </w:pPr>
      <w:bookmarkStart w:id="5" w:name="_Toc431912382"/>
      <w:r>
        <w:rPr>
          <w:rFonts w:hint="cs"/>
          <w:rtl/>
        </w:rPr>
        <w:t>علت تفکیک دو قسم</w:t>
      </w:r>
      <w:bookmarkEnd w:id="5"/>
    </w:p>
    <w:p w:rsidR="00AA24A4" w:rsidRDefault="005455BA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AA24A4">
        <w:rPr>
          <w:rFonts w:ascii="IRBadr" w:hAnsi="IRBadr" w:cs="IRBadr" w:hint="cs"/>
          <w:sz w:val="28"/>
          <w:szCs w:val="28"/>
          <w:rtl/>
          <w:lang w:bidi="fa-IR"/>
        </w:rPr>
        <w:t xml:space="preserve"> راز جدایی این قسم از قسم سابق همین امر است و </w:t>
      </w:r>
      <w:r>
        <w:rPr>
          <w:rFonts w:ascii="IRBadr" w:hAnsi="IRBadr" w:cs="IRBadr" w:hint="cs"/>
          <w:sz w:val="28"/>
          <w:szCs w:val="28"/>
          <w:rtl/>
          <w:lang w:bidi="fa-IR"/>
        </w:rPr>
        <w:t>ازآنجایی‌که</w:t>
      </w:r>
      <w:r w:rsidR="00AA24A4">
        <w:rPr>
          <w:rFonts w:ascii="IRBadr" w:hAnsi="IRBadr" w:cs="IRBadr" w:hint="cs"/>
          <w:sz w:val="28"/>
          <w:szCs w:val="28"/>
          <w:rtl/>
          <w:lang w:bidi="fa-IR"/>
        </w:rPr>
        <w:t xml:space="preserve"> نهی مستقل بدان </w:t>
      </w:r>
      <w:r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AA24A4">
        <w:rPr>
          <w:rFonts w:ascii="IRBadr" w:hAnsi="IRBadr" w:cs="IRBadr" w:hint="cs"/>
          <w:sz w:val="28"/>
          <w:szCs w:val="28"/>
          <w:rtl/>
          <w:lang w:bidi="fa-IR"/>
        </w:rPr>
        <w:t xml:space="preserve"> است مطلق و مقید نخواهد بود لذا از موارد اجتماع </w:t>
      </w:r>
      <w:r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 w:rsidR="00AA24A4">
        <w:rPr>
          <w:rFonts w:ascii="IRBadr" w:hAnsi="IRBadr" w:cs="IRBadr" w:hint="cs"/>
          <w:sz w:val="28"/>
          <w:szCs w:val="28"/>
          <w:rtl/>
          <w:lang w:bidi="fa-IR"/>
        </w:rPr>
        <w:t xml:space="preserve"> خواهد شد و از موارد من وجه است که نهی در اینجا تنزیهی بوده و امر الزامی است و تنها فرق آن با موارد اجتماع این بوده که خود دلیل مواضع اجتماع را جدا نموده است.</w:t>
      </w:r>
    </w:p>
    <w:p w:rsidR="00517C6B" w:rsidRDefault="00517C6B" w:rsidP="000341CF">
      <w:pPr>
        <w:pStyle w:val="Heading1"/>
        <w:rPr>
          <w:rtl/>
        </w:rPr>
      </w:pPr>
      <w:bookmarkStart w:id="6" w:name="_Toc431912383"/>
      <w:r>
        <w:rPr>
          <w:rFonts w:hint="cs"/>
          <w:rtl/>
        </w:rPr>
        <w:lastRenderedPageBreak/>
        <w:t>بیان کفایه در این مقام</w:t>
      </w:r>
      <w:bookmarkEnd w:id="6"/>
    </w:p>
    <w:p w:rsidR="00517C6B" w:rsidRDefault="00AA24A4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اگر قائل به اجتماع بودیم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که نهی مجازاً به صلاة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این‌یک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در قبال این بحث خواهد بود که البته این وجه خلاف ظاهر ادله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وجود منقصت و ارشاد به اقل ثواباً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قائل به امتناع شویم در اینجا به دلیل وجود الزام در ا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>مر،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جانب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آن مقدم داشته شده است.</w:t>
      </w:r>
    </w:p>
    <w:p w:rsidR="00517C6B" w:rsidRDefault="00517C6B" w:rsidP="000341CF">
      <w:pPr>
        <w:pStyle w:val="Heading1"/>
        <w:rPr>
          <w:rtl/>
        </w:rPr>
      </w:pPr>
      <w:bookmarkStart w:id="7" w:name="_Toc431912384"/>
      <w:r>
        <w:rPr>
          <w:rFonts w:hint="cs"/>
          <w:rtl/>
        </w:rPr>
        <w:t>علیت بحث</w:t>
      </w:r>
      <w:bookmarkEnd w:id="7"/>
    </w:p>
    <w:p w:rsidR="00517C6B" w:rsidRDefault="00517C6B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چراکه در موارد امتناع باید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یک‌طرف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رجحان پیدا کند.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از صلاة در اینجا تنزیهی نخواهد بود بلکه تنها اشاره به اقل ثواباً نهی دارد که در کفایه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517C6B" w:rsidRDefault="00517C6B" w:rsidP="000341CF">
      <w:pPr>
        <w:pStyle w:val="Heading1"/>
        <w:rPr>
          <w:rtl/>
        </w:rPr>
      </w:pPr>
      <w:bookmarkStart w:id="8" w:name="_Toc431912385"/>
      <w:r>
        <w:rPr>
          <w:rFonts w:hint="cs"/>
          <w:rtl/>
        </w:rPr>
        <w:t>بحث در فروض امتناع و اجتماع</w:t>
      </w:r>
      <w:bookmarkEnd w:id="8"/>
    </w:p>
    <w:p w:rsidR="00AA24A4" w:rsidRDefault="00517C6B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ما چه اجتماعی باشیم و چه امتناعی،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ترکیب اتحادی و انضمامی باشیم،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نباید از ظهور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آن‌که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منقصت است،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منصرف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کنیم.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ماده اجتماع را خود دلیل بیان نموده باید قائل شویم که در این موضوع منقصت وجود دارد که شاید این مطلب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اشاره نشده باشد.</w:t>
      </w:r>
    </w:p>
    <w:p w:rsidR="00517C6B" w:rsidRDefault="005455BA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حمل بر مجاز که مرحوم آخوند ذکر </w:t>
      </w:r>
      <w:r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امری بعید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باید وجه اقوی که سابقاً گفته شد اخذ شود.</w:t>
      </w:r>
    </w:p>
    <w:p w:rsidR="00517C6B" w:rsidRDefault="00517C6B" w:rsidP="000341CF">
      <w:pPr>
        <w:pStyle w:val="Heading1"/>
        <w:rPr>
          <w:rtl/>
        </w:rPr>
      </w:pPr>
      <w:bookmarkStart w:id="9" w:name="_Toc431912386"/>
      <w:r>
        <w:rPr>
          <w:rFonts w:hint="cs"/>
          <w:rtl/>
        </w:rPr>
        <w:t>تصریح به منقصت در روایات</w:t>
      </w:r>
      <w:bookmarkEnd w:id="9"/>
    </w:p>
    <w:p w:rsidR="00517C6B" w:rsidRDefault="00517C6B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حتی در برخی روایات بحث منقصت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حال ظاهر سند آن روایت را به یاد ندارد.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ظاهر آن وجود حضاضت در این مقام است.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کسی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عقلی بگوید که ممکن نیست که آن بحث دیگری خواهد ب</w:t>
      </w:r>
      <w:r w:rsidR="00794786">
        <w:rPr>
          <w:rFonts w:ascii="IRBadr" w:hAnsi="IRBadr" w:cs="IRBadr" w:hint="cs"/>
          <w:sz w:val="28"/>
          <w:szCs w:val="28"/>
          <w:rtl/>
          <w:lang w:bidi="fa-IR"/>
        </w:rPr>
        <w:t xml:space="preserve">ود که در اینجا به دلیل لفظی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794786">
        <w:rPr>
          <w:rFonts w:ascii="IRBadr" w:hAnsi="IRBadr" w:cs="IRBadr" w:hint="cs"/>
          <w:sz w:val="28"/>
          <w:szCs w:val="28"/>
          <w:rtl/>
          <w:lang w:bidi="fa-IR"/>
        </w:rPr>
        <w:t xml:space="preserve"> اکتفاء نمود چراکه در این جایگاه لازم است برهانی بحث نمود.</w:t>
      </w:r>
    </w:p>
    <w:p w:rsidR="00794786" w:rsidRDefault="00794786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مقام استظهارات ادله لفظی و روایات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مؤثر باشد.</w:t>
      </w:r>
    </w:p>
    <w:p w:rsidR="00517C6B" w:rsidRDefault="005455BA" w:rsidP="000341CF">
      <w:pPr>
        <w:pStyle w:val="Heading1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517C6B" w:rsidRDefault="005455BA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ازآنجایی‌که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اجتماع در من وجه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سوم موضوع بحث خواهد بود اما دو قسم سابق چون مطلق است از اصل بحث خارج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قسم سوم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است که نهی تنزیهی نیست لذا ممکن است کسی بگوید که به این مورد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به‌کل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استشهاد نمود چراکه بحث ما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 w:rsidR="00517C6B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517C6B" w:rsidRDefault="00517C6B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نکته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جاری باشد.</w:t>
      </w:r>
    </w:p>
    <w:p w:rsidR="00794786" w:rsidRDefault="00794786" w:rsidP="000341CF">
      <w:pPr>
        <w:pStyle w:val="Heading1"/>
        <w:rPr>
          <w:rtl/>
        </w:rPr>
      </w:pPr>
      <w:bookmarkStart w:id="10" w:name="_Toc431912388"/>
      <w:r>
        <w:rPr>
          <w:rFonts w:hint="cs"/>
          <w:rtl/>
        </w:rPr>
        <w:t>قائلین به اجتماع و امتناع در معاصر</w:t>
      </w:r>
      <w:bookmarkEnd w:id="10"/>
    </w:p>
    <w:p w:rsidR="00794786" w:rsidRDefault="00794786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ادله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جواز دلیل جدیدی نبوده بلکه نفی ادله مرحوم آخوند بود که در دوره معاصر مجوزین مانند امام،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بروجردی،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حکیم،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شه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صدر و ...زیاد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هریک دلایل مختلفی دارند که احکام تضاد دارند،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تعدد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عنوان موجب تعدد معنون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...در این میان آقای خویی و آقای تبریزی بودند که به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سمت‌وسوی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سوق پیدا کردند.</w:t>
      </w:r>
    </w:p>
    <w:p w:rsidR="00794786" w:rsidRDefault="00794786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مقام دلیل امام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به‌تفصیل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شد که به دلیل آقای حکیم و آقای بروجردی نزدیکی به خصوصی داشت.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وجه تمسک به این ادله بود.</w:t>
      </w:r>
    </w:p>
    <w:p w:rsidR="00794786" w:rsidRDefault="00794786" w:rsidP="000341CF">
      <w:pPr>
        <w:pStyle w:val="Heading2"/>
        <w:rPr>
          <w:rtl/>
        </w:rPr>
      </w:pPr>
      <w:bookmarkStart w:id="11" w:name="_Toc431912389"/>
      <w:r>
        <w:rPr>
          <w:rFonts w:hint="cs"/>
          <w:rtl/>
        </w:rPr>
        <w:t>وجه پنجم</w:t>
      </w:r>
      <w:bookmarkEnd w:id="11"/>
    </w:p>
    <w:p w:rsidR="00D635A7" w:rsidRDefault="00794786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آخرین وجهی که در کفایه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اینجا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عرف با نگاه عرفی خود اجتماع را جایز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دلیل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ارجاع به ارتکاز عرفی است که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درآن‌واحد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مطیع و عاصی بودن را جایز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خیاطت که به فرد امر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لباس مرا بدوز و در خانه آن فرد نرو که او دشمن من است.</w:t>
      </w:r>
    </w:p>
    <w:p w:rsidR="00794786" w:rsidRDefault="00794786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مانعی وجود ندارد که در عملی وا</w:t>
      </w:r>
      <w:r w:rsidR="00D635A7">
        <w:rPr>
          <w:rFonts w:ascii="IRBadr" w:hAnsi="IRBadr" w:cs="IRBadr" w:hint="cs"/>
          <w:sz w:val="28"/>
          <w:szCs w:val="28"/>
          <w:rtl/>
          <w:lang w:bidi="fa-IR"/>
        </w:rPr>
        <w:t>حد فرد هر دو عمل را انجام دهد.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عرف در اینجا عرف تسامحی نیست.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تمام دقت خود چنین برداشتی دارد.</w:t>
      </w:r>
    </w:p>
    <w:p w:rsidR="00794786" w:rsidRDefault="00794786" w:rsidP="000341CF">
      <w:pPr>
        <w:pStyle w:val="Heading2"/>
        <w:rPr>
          <w:rtl/>
        </w:rPr>
      </w:pPr>
      <w:bookmarkStart w:id="12" w:name="_Toc431912390"/>
      <w:r>
        <w:rPr>
          <w:rFonts w:hint="cs"/>
          <w:rtl/>
        </w:rPr>
        <w:lastRenderedPageBreak/>
        <w:t>اجوبه استدلال فوق</w:t>
      </w:r>
      <w:bookmarkEnd w:id="12"/>
    </w:p>
    <w:p w:rsidR="00794786" w:rsidRDefault="005455BA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پاسخ‌ها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94786">
        <w:rPr>
          <w:rFonts w:ascii="IRBadr" w:hAnsi="IRBadr" w:cs="IRBadr" w:hint="cs"/>
          <w:sz w:val="28"/>
          <w:szCs w:val="28"/>
          <w:rtl/>
          <w:lang w:bidi="fa-IR"/>
        </w:rPr>
        <w:t xml:space="preserve"> که از این استدلال شده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بدین‌صورت</w:t>
      </w:r>
      <w:r w:rsidR="00794786">
        <w:rPr>
          <w:rFonts w:ascii="IRBadr" w:hAnsi="IRBadr" w:cs="IRBadr" w:hint="cs"/>
          <w:sz w:val="28"/>
          <w:szCs w:val="28"/>
          <w:rtl/>
          <w:lang w:bidi="fa-IR"/>
        </w:rPr>
        <w:t xml:space="preserve"> بوده که؛</w:t>
      </w:r>
    </w:p>
    <w:p w:rsidR="00794786" w:rsidRDefault="00794786" w:rsidP="000341CF">
      <w:pPr>
        <w:pStyle w:val="Heading2"/>
        <w:rPr>
          <w:rtl/>
        </w:rPr>
      </w:pPr>
      <w:bookmarkStart w:id="13" w:name="_Toc431912391"/>
      <w:r>
        <w:rPr>
          <w:rFonts w:hint="cs"/>
          <w:rtl/>
        </w:rPr>
        <w:t>جواب اول</w:t>
      </w:r>
      <w:bookmarkEnd w:id="13"/>
    </w:p>
    <w:p w:rsidR="00517C6B" w:rsidRDefault="00794786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پاسخ اول از آن صاحب کفایه است که آنچه گفته شد از محل بحث بیرون است،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ترکیب انضمامی است و دو مقوله مستقل است خیاطت و حضور در خانه فرد که هر دو با یکدیگر همراه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آقای بروجردی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D635A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 که این مثال اگر به منع دوختن با نخ غصبی تبدیل شود،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عرف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برداشت را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نخواهد داشت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94786" w:rsidRDefault="00794786" w:rsidP="000341CF">
      <w:pPr>
        <w:pStyle w:val="Heading2"/>
        <w:rPr>
          <w:rtl/>
        </w:rPr>
      </w:pPr>
      <w:bookmarkStart w:id="14" w:name="_Toc431912392"/>
      <w:r>
        <w:rPr>
          <w:rFonts w:hint="cs"/>
          <w:rtl/>
        </w:rPr>
        <w:t>اتخاذ مبنا</w:t>
      </w:r>
      <w:bookmarkEnd w:id="14"/>
    </w:p>
    <w:p w:rsidR="00794786" w:rsidRDefault="005455BA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ملاحظه‌ای</w:t>
      </w:r>
      <w:r w:rsidR="00794786">
        <w:rPr>
          <w:rFonts w:ascii="IRBadr" w:hAnsi="IRBadr" w:cs="IRBadr" w:hint="cs"/>
          <w:sz w:val="28"/>
          <w:szCs w:val="28"/>
          <w:rtl/>
          <w:lang w:bidi="fa-IR"/>
        </w:rPr>
        <w:t xml:space="preserve"> که نسبت به این فرمایش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794786">
        <w:rPr>
          <w:rFonts w:ascii="IRBadr" w:hAnsi="IRBadr" w:cs="IRBadr" w:hint="cs"/>
          <w:sz w:val="28"/>
          <w:szCs w:val="28"/>
          <w:rtl/>
          <w:lang w:bidi="fa-IR"/>
        </w:rPr>
        <w:t xml:space="preserve"> نحو بوده که </w:t>
      </w:r>
      <w:r w:rsidR="00D635A7">
        <w:rPr>
          <w:rFonts w:ascii="IRBadr" w:hAnsi="IRBadr" w:cs="IRBadr" w:hint="cs"/>
          <w:sz w:val="28"/>
          <w:szCs w:val="28"/>
          <w:rtl/>
          <w:lang w:bidi="fa-IR"/>
        </w:rPr>
        <w:t xml:space="preserve">ظاهر کلام ایشان این است که ترکیب انضمامی از محل بحث خارج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 w:rsidR="00D635A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D635A7"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D635A7"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بتوان مانند آقای خویی و تبریزی به سمت تفصیل در این باب میان انضمامی و اتحادی پیش رفت.</w:t>
      </w:r>
    </w:p>
    <w:p w:rsidR="00D635A7" w:rsidRDefault="00D635A7" w:rsidP="000341CF">
      <w:pPr>
        <w:pStyle w:val="Heading2"/>
        <w:rPr>
          <w:rtl/>
        </w:rPr>
      </w:pPr>
      <w:bookmarkStart w:id="15" w:name="_Toc431912393"/>
      <w:r>
        <w:rPr>
          <w:rFonts w:hint="cs"/>
          <w:rtl/>
        </w:rPr>
        <w:t>جواب دوم</w:t>
      </w:r>
      <w:bookmarkEnd w:id="15"/>
    </w:p>
    <w:p w:rsidR="000341CF" w:rsidRDefault="00D635A7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دوم از کلام آخوند این است که در اینجا جای اتکاء به دلیل عرف نیست.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تبادر عرفی 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برهان باشد،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حج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داشت.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ظهورات که اگر خلاف ادله عقلی باشد مردود خواهد بود مانند آیات تشبیهی که در قرآن کریم در قبال خداوند وجود دارد.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 در اینجا به نحو برهانی عقیده داشت که ممتنع است.</w:t>
      </w:r>
    </w:p>
    <w:p w:rsidR="00D635A7" w:rsidRDefault="00D635A7" w:rsidP="000341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ادامه ایشان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م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توصلیات این حالت مانعی ندارد که اخذ به نظر عرف شود برخلاف </w:t>
      </w:r>
      <w:r w:rsidR="005455BA">
        <w:rPr>
          <w:rFonts w:ascii="IRBadr" w:hAnsi="IRBadr" w:cs="IRBadr"/>
          <w:sz w:val="28"/>
          <w:szCs w:val="28"/>
          <w:rtl/>
          <w:lang w:bidi="fa-IR"/>
        </w:rPr>
        <w:t>تعبد</w:t>
      </w:r>
      <w:r w:rsidR="005455BA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ممکن نیست.</w:t>
      </w:r>
    </w:p>
    <w:p w:rsidR="00517C6B" w:rsidRPr="00517C6B" w:rsidRDefault="00517C6B" w:rsidP="00517C6B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517C6B" w:rsidRPr="00517C6B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5C" w:rsidRDefault="00FA695C" w:rsidP="000D5800">
      <w:pPr>
        <w:spacing w:after="0" w:line="240" w:lineRule="auto"/>
      </w:pPr>
      <w:r>
        <w:separator/>
      </w:r>
    </w:p>
  </w:endnote>
  <w:endnote w:type="continuationSeparator" w:id="0">
    <w:p w:rsidR="00FA695C" w:rsidRDefault="00FA695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BA" w:rsidRDefault="00545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BA" w:rsidRDefault="00545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BA" w:rsidRDefault="00545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5C" w:rsidRDefault="00FA695C" w:rsidP="000D5800">
      <w:pPr>
        <w:spacing w:after="0" w:line="240" w:lineRule="auto"/>
      </w:pPr>
      <w:r>
        <w:separator/>
      </w:r>
    </w:p>
  </w:footnote>
  <w:footnote w:type="continuationSeparator" w:id="0">
    <w:p w:rsidR="00FA695C" w:rsidRDefault="00FA695C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BA" w:rsidRDefault="00545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AA24A4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D2A5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AA24A4">
      <w:rPr>
        <w:rFonts w:ascii="IranNastaliq" w:hAnsi="IranNastaliq" w:cs="IranNastaliq" w:hint="cs"/>
        <w:sz w:val="40"/>
        <w:szCs w:val="40"/>
        <w:rtl/>
        <w:lang w:bidi="fa-IR"/>
      </w:rPr>
      <w:t>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BA" w:rsidRDefault="00545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341CF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17C6B"/>
    <w:rsid w:val="005455BA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2F87"/>
    <w:rsid w:val="007749BC"/>
    <w:rsid w:val="00780C88"/>
    <w:rsid w:val="00780E25"/>
    <w:rsid w:val="007818F0"/>
    <w:rsid w:val="00783462"/>
    <w:rsid w:val="00787B13"/>
    <w:rsid w:val="00792FAC"/>
    <w:rsid w:val="00794786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A24A4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36E52"/>
    <w:rsid w:val="00D508CC"/>
    <w:rsid w:val="00D50F4B"/>
    <w:rsid w:val="00D60547"/>
    <w:rsid w:val="00D635A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695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2405-DB47-41C1-A149-DD5C5E3C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120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27</cp:revision>
  <dcterms:created xsi:type="dcterms:W3CDTF">2014-11-18T06:47:00Z</dcterms:created>
  <dcterms:modified xsi:type="dcterms:W3CDTF">2015-10-06T14:02:00Z</dcterms:modified>
</cp:coreProperties>
</file>