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11" w:rsidRDefault="00B50E8D" w:rsidP="00A91011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7552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F75521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A91011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A91011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A91011">
        <w:rPr>
          <w:rFonts w:ascii="IRBadr" w:hAnsi="IRBadr" w:cs="IRBadr"/>
          <w:sz w:val="28"/>
          <w:szCs w:val="28"/>
          <w:lang w:bidi="fa-IR"/>
        </w:rPr>
        <w:instrText>TOC</w:instrText>
      </w:r>
      <w:r w:rsidR="00A91011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A91011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A91011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A91011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A91011" w:rsidRDefault="00A91011" w:rsidP="00A9101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61" w:history="1">
        <w:r w:rsidRPr="00B91FA1">
          <w:rPr>
            <w:rStyle w:val="Hyperlink"/>
            <w:rFonts w:hint="eastAsia"/>
            <w:noProof/>
            <w:rtl/>
          </w:rPr>
          <w:t>اجتماع</w:t>
        </w:r>
        <w:r w:rsidRPr="00B91FA1">
          <w:rPr>
            <w:rStyle w:val="Hyperlink"/>
            <w:noProof/>
            <w:rtl/>
          </w:rPr>
          <w:t xml:space="preserve"> </w:t>
        </w:r>
        <w:r w:rsidR="00B50E8D">
          <w:rPr>
            <w:rStyle w:val="Hyperlink"/>
            <w:rFonts w:hint="eastAsia"/>
            <w:noProof/>
            <w:rtl/>
          </w:rPr>
          <w:t>امرونهی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_Toc431915661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62" w:history="1">
        <w:r w:rsidRPr="00B91FA1">
          <w:rPr>
            <w:rStyle w:val="Hyperlink"/>
            <w:rFonts w:hint="eastAsia"/>
            <w:noProof/>
            <w:rtl/>
          </w:rPr>
          <w:t>دل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rFonts w:hint="eastAsia"/>
            <w:noProof/>
            <w:rtl/>
          </w:rPr>
          <w:t>ل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ششم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_Toc431915662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63" w:history="1">
        <w:r w:rsidRPr="00B91FA1">
          <w:rPr>
            <w:rStyle w:val="Hyperlink"/>
            <w:rFonts w:hint="eastAsia"/>
            <w:noProof/>
            <w:rtl/>
          </w:rPr>
          <w:t>مرور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بحث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_Toc431915663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64" w:history="1">
        <w:r w:rsidRPr="00B91FA1">
          <w:rPr>
            <w:rStyle w:val="Hyperlink"/>
            <w:rFonts w:hint="eastAsia"/>
            <w:noProof/>
            <w:rtl/>
          </w:rPr>
          <w:t>مرور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بر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پاسخ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_Toc431915664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65" w:history="1">
        <w:r w:rsidRPr="00B91FA1">
          <w:rPr>
            <w:rStyle w:val="Hyperlink"/>
            <w:rFonts w:hint="eastAsia"/>
            <w:noProof/>
            <w:rtl/>
          </w:rPr>
          <w:t>بررس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استدلال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_Toc431915665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66" w:history="1">
        <w:r w:rsidRPr="00B91FA1">
          <w:rPr>
            <w:rStyle w:val="Hyperlink"/>
            <w:rFonts w:hint="eastAsia"/>
            <w:noProof/>
            <w:rtl/>
          </w:rPr>
          <w:t>محدوده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مراجعه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به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ارتکاز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عرف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_Toc431915666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67" w:history="1">
        <w:r w:rsidRPr="00B91FA1">
          <w:rPr>
            <w:rStyle w:val="Hyperlink"/>
            <w:rFonts w:hint="eastAsia"/>
            <w:noProof/>
            <w:rtl/>
          </w:rPr>
          <w:t>حج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rFonts w:hint="eastAsia"/>
            <w:noProof/>
            <w:rtl/>
          </w:rPr>
          <w:t>ت</w:t>
        </w:r>
        <w:r w:rsidRPr="00B91FA1">
          <w:rPr>
            <w:rStyle w:val="Hyperlink"/>
            <w:noProof/>
            <w:rtl/>
          </w:rPr>
          <w:t xml:space="preserve"> </w:t>
        </w:r>
        <w:r w:rsidR="00B50E8D">
          <w:rPr>
            <w:rStyle w:val="Hyperlink"/>
            <w:rFonts w:hint="eastAsia"/>
            <w:noProof/>
            <w:rtl/>
          </w:rPr>
          <w:t>فی‌الجمله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برا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عرف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_Toc431915667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68" w:history="1">
        <w:r w:rsidRPr="00B91FA1">
          <w:rPr>
            <w:rStyle w:val="Hyperlink"/>
            <w:rFonts w:hint="eastAsia"/>
            <w:noProof/>
            <w:rtl/>
          </w:rPr>
          <w:t>استدراک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از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_Toc431915668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69" w:history="1">
        <w:r w:rsidRPr="00B91FA1">
          <w:rPr>
            <w:rStyle w:val="Hyperlink"/>
            <w:rFonts w:hint="eastAsia"/>
            <w:noProof/>
            <w:rtl/>
          </w:rPr>
          <w:t>زم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rFonts w:hint="eastAsia"/>
            <w:noProof/>
            <w:rtl/>
          </w:rPr>
          <w:t>نه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صغرو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_Toc431915669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70" w:history="1">
        <w:r w:rsidR="00B50E8D">
          <w:rPr>
            <w:rStyle w:val="Hyperlink"/>
            <w:rFonts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_Toc431915670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71" w:history="1">
        <w:r w:rsidRPr="00B91FA1">
          <w:rPr>
            <w:rStyle w:val="Hyperlink"/>
            <w:rFonts w:hint="eastAsia"/>
            <w:noProof/>
            <w:rtl/>
          </w:rPr>
          <w:t>دل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rFonts w:hint="eastAsia"/>
            <w:noProof/>
            <w:rtl/>
          </w:rPr>
          <w:t>ل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هفتم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_Toc431915671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72" w:history="1">
        <w:r w:rsidRPr="00B91FA1">
          <w:rPr>
            <w:rStyle w:val="Hyperlink"/>
            <w:rFonts w:hint="eastAsia"/>
            <w:noProof/>
            <w:rtl/>
          </w:rPr>
          <w:t>اتخاذ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_Toc431915672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15673" w:history="1">
        <w:r w:rsidR="003F6C71">
          <w:rPr>
            <w:rStyle w:val="Hyperlink"/>
            <w:rFonts w:hint="eastAsia"/>
            <w:noProof/>
            <w:rtl/>
          </w:rPr>
          <w:t>نتیجه‌گیری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کل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_Toc431915673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15674" w:history="1">
        <w:r w:rsidRPr="00B91FA1">
          <w:rPr>
            <w:rStyle w:val="Hyperlink"/>
            <w:rFonts w:hint="eastAsia"/>
            <w:noProof/>
            <w:rtl/>
          </w:rPr>
          <w:t>تنب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rFonts w:hint="eastAsia"/>
            <w:noProof/>
            <w:rtl/>
          </w:rPr>
          <w:t>هات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مسأله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_Toc431915674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15675" w:history="1">
        <w:r w:rsidRPr="00B91FA1">
          <w:rPr>
            <w:rStyle w:val="Hyperlink"/>
            <w:rFonts w:hint="eastAsia"/>
            <w:noProof/>
            <w:rtl/>
          </w:rPr>
          <w:t>تنب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rFonts w:hint="eastAsia"/>
            <w:noProof/>
            <w:rtl/>
          </w:rPr>
          <w:t>ه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_Toc431915675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15676" w:history="1">
        <w:r w:rsidRPr="00B91FA1">
          <w:rPr>
            <w:rStyle w:val="Hyperlink"/>
            <w:rFonts w:hint="eastAsia"/>
            <w:noProof/>
            <w:rtl/>
          </w:rPr>
          <w:t>تفاوت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دو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مبنا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در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ا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rFonts w:hint="eastAsia"/>
            <w:noProof/>
            <w:rtl/>
          </w:rPr>
          <w:t>ن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_Toc431915676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15677" w:history="1">
        <w:r w:rsidRPr="00B91FA1">
          <w:rPr>
            <w:rStyle w:val="Hyperlink"/>
            <w:rFonts w:hint="eastAsia"/>
            <w:noProof/>
            <w:rtl/>
          </w:rPr>
          <w:t>فروض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فوق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در</w:t>
        </w:r>
        <w:r w:rsidRPr="00B91FA1">
          <w:rPr>
            <w:rStyle w:val="Hyperlink"/>
            <w:noProof/>
            <w:rtl/>
          </w:rPr>
          <w:t xml:space="preserve"> </w:t>
        </w:r>
        <w:r w:rsidRPr="00B91FA1">
          <w:rPr>
            <w:rStyle w:val="Hyperlink"/>
            <w:rFonts w:hint="eastAsia"/>
            <w:noProof/>
            <w:rtl/>
          </w:rPr>
          <w:t>توصل</w:t>
        </w:r>
        <w:r w:rsidRPr="00B91FA1">
          <w:rPr>
            <w:rStyle w:val="Hyperlink"/>
            <w:rFonts w:hint="cs"/>
            <w:noProof/>
            <w:rtl/>
          </w:rPr>
          <w:t>ی</w:t>
        </w:r>
        <w:r w:rsidRPr="00B91FA1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_Toc431915677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91011" w:rsidRDefault="00A91011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91011" w:rsidRDefault="00A91011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E42465" w:rsidRDefault="00E42465" w:rsidP="00A91011">
      <w:pPr>
        <w:pStyle w:val="Heading1"/>
        <w:rPr>
          <w:rFonts w:hint="cs"/>
          <w:rtl/>
        </w:rPr>
      </w:pPr>
      <w:bookmarkStart w:id="1" w:name="_Toc431915661"/>
      <w:r>
        <w:rPr>
          <w:rFonts w:hint="cs"/>
          <w:rtl/>
        </w:rPr>
        <w:lastRenderedPageBreak/>
        <w:t xml:space="preserve">اجتماع </w:t>
      </w:r>
      <w:r w:rsidR="00B50E8D">
        <w:rPr>
          <w:rFonts w:hint="cs"/>
          <w:rtl/>
        </w:rPr>
        <w:t>امرونهی</w:t>
      </w:r>
      <w:bookmarkEnd w:id="1"/>
    </w:p>
    <w:p w:rsidR="00E42465" w:rsidRDefault="00E42465" w:rsidP="00A91011">
      <w:pPr>
        <w:pStyle w:val="Heading1"/>
        <w:rPr>
          <w:rFonts w:hint="cs"/>
          <w:rtl/>
        </w:rPr>
      </w:pPr>
      <w:bookmarkStart w:id="2" w:name="_Toc431915662"/>
      <w:r>
        <w:rPr>
          <w:rFonts w:hint="cs"/>
          <w:rtl/>
        </w:rPr>
        <w:t>دلیل ششم</w:t>
      </w:r>
      <w:bookmarkEnd w:id="2"/>
    </w:p>
    <w:p w:rsidR="00E42465" w:rsidRDefault="00E42465" w:rsidP="00A91011">
      <w:pPr>
        <w:pStyle w:val="Heading1"/>
        <w:rPr>
          <w:rFonts w:hint="cs"/>
          <w:rtl/>
        </w:rPr>
      </w:pPr>
      <w:bookmarkStart w:id="3" w:name="_Toc431915663"/>
      <w:r>
        <w:rPr>
          <w:rFonts w:hint="cs"/>
          <w:rtl/>
        </w:rPr>
        <w:t>مرور بحث گذشته</w:t>
      </w:r>
      <w:bookmarkEnd w:id="3"/>
    </w:p>
    <w:p w:rsidR="00F75521" w:rsidRDefault="00E42465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بیان شد که ششمین دلیل و آخرین دلیلی که برای جواز اجتماع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ذکر نمود که دومین دلیل کفایه است،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اگر ما به ارتکاز طبیعی که از محورهای مهم در اصول است مراجعه کنیم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جواز دست یابیم.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حال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درآن‌واحد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عاصی و به همراه ثواب باشد.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اشکال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مرحوم آخوند به این استدلال وارد کرده بودند بیان شد که مثال در حالت ترکیب انضمامی است و بحث در موارد ترکیب اتحادی است.</w:t>
      </w:r>
    </w:p>
    <w:p w:rsidR="00E42465" w:rsidRDefault="00E42465" w:rsidP="00A91011">
      <w:pPr>
        <w:pStyle w:val="Heading1"/>
        <w:rPr>
          <w:rtl/>
        </w:rPr>
      </w:pPr>
      <w:bookmarkStart w:id="4" w:name="_Toc431915664"/>
      <w:r>
        <w:rPr>
          <w:rFonts w:hint="cs"/>
          <w:rtl/>
        </w:rPr>
        <w:t>مرور بر پاسخ دوم</w:t>
      </w:r>
      <w:bookmarkEnd w:id="4"/>
    </w:p>
    <w:p w:rsidR="00E42465" w:rsidRDefault="00E42465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پاسخ دیگر ایشان این بود که داوری عرف در این جایگاه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به خاطر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توصلی بودن است که نیاز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به‌قصد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قربت ندارد و غرض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حاصل‌شده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برخلاف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تعبد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بنابرا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خواهد آمد در این موطن مانعی نخواهد بود.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توصلیات حصول غرض بدون امر نیز مانعی نیست.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دفن میت،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در خواب دفن نمود امری ندارد ولی غرض محقق شده است.</w:t>
      </w:r>
    </w:p>
    <w:p w:rsidR="00E42465" w:rsidRDefault="00E42465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نیز در کلام ایشان است که این برداشت عرفی در مقابل برهان قرار دارد لذا قابلیت اتخاذ ندارد.</w:t>
      </w:r>
    </w:p>
    <w:p w:rsidR="00E42465" w:rsidRDefault="00E42465" w:rsidP="00A91011">
      <w:pPr>
        <w:pStyle w:val="Heading2"/>
        <w:rPr>
          <w:rFonts w:hint="cs"/>
          <w:rtl/>
        </w:rPr>
      </w:pPr>
      <w:bookmarkStart w:id="5" w:name="_Toc431915665"/>
      <w:r>
        <w:rPr>
          <w:rFonts w:hint="cs"/>
          <w:rtl/>
        </w:rPr>
        <w:t>بررسی استدلال فوق</w:t>
      </w:r>
      <w:bookmarkEnd w:id="5"/>
    </w:p>
    <w:p w:rsidR="00E42465" w:rsidRDefault="00E42465" w:rsidP="00A91011">
      <w:pPr>
        <w:pStyle w:val="Heading2"/>
        <w:rPr>
          <w:rFonts w:hint="cs"/>
          <w:rtl/>
        </w:rPr>
      </w:pPr>
      <w:bookmarkStart w:id="6" w:name="_Toc431915666"/>
      <w:r>
        <w:rPr>
          <w:rFonts w:hint="cs"/>
          <w:rtl/>
        </w:rPr>
        <w:t>محدوده مراجعه به ارتکاز عرف</w:t>
      </w:r>
      <w:bookmarkEnd w:id="6"/>
    </w:p>
    <w:p w:rsidR="00E42465" w:rsidRDefault="00E42465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کبروی ای در اینجا وجود دارد که تا کجا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ارتکاز عرف مراجعه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نمود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به نقش و جایگاه عرف در اجتهاد پرداخته شود.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اخ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یراً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کمابیش مقالات و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کتاب‌ها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زمینه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نوشته‌شده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کلام علماء به نحو ضمنی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از حیث حقوق جدید نیز دارای اهمیت است.</w:t>
      </w:r>
    </w:p>
    <w:p w:rsidR="00196AF1" w:rsidRDefault="00196AF1" w:rsidP="00A91011">
      <w:pPr>
        <w:pStyle w:val="Heading2"/>
        <w:rPr>
          <w:rtl/>
        </w:rPr>
      </w:pPr>
      <w:bookmarkStart w:id="7" w:name="_Toc431915667"/>
      <w:r>
        <w:rPr>
          <w:rFonts w:hint="cs"/>
          <w:rtl/>
        </w:rPr>
        <w:lastRenderedPageBreak/>
        <w:t xml:space="preserve">حجیت </w:t>
      </w:r>
      <w:r w:rsidR="00B50E8D">
        <w:rPr>
          <w:rFonts w:hint="cs"/>
          <w:rtl/>
        </w:rPr>
        <w:t>فی‌الجمله</w:t>
      </w:r>
      <w:r>
        <w:rPr>
          <w:rFonts w:hint="cs"/>
          <w:rtl/>
        </w:rPr>
        <w:t xml:space="preserve"> برای عرف</w:t>
      </w:r>
      <w:bookmarkEnd w:id="7"/>
    </w:p>
    <w:p w:rsidR="00E42465" w:rsidRDefault="00E42465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آخوند نیز آن را نفی ننموده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مطلقاً عرف را در اینجا نفی نمود.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در اینجا کسی ادعا کند که اینجا باید تماماً استدلالات عقلی مطرح شو</w:t>
      </w:r>
      <w:r w:rsidR="00196AF1">
        <w:rPr>
          <w:rFonts w:ascii="IRBadr" w:hAnsi="IRBadr" w:cs="IRBadr" w:hint="cs"/>
          <w:sz w:val="28"/>
          <w:szCs w:val="28"/>
          <w:rtl/>
          <w:lang w:bidi="fa-IR"/>
        </w:rPr>
        <w:t xml:space="preserve">د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 w:rsidR="00196AF1">
        <w:rPr>
          <w:rFonts w:ascii="IRBadr" w:hAnsi="IRBadr" w:cs="IRBadr" w:hint="cs"/>
          <w:sz w:val="28"/>
          <w:szCs w:val="28"/>
          <w:rtl/>
          <w:lang w:bidi="fa-IR"/>
        </w:rPr>
        <w:t xml:space="preserve"> برخی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مقدمات در اینجا برخی جنبه وجود دارد که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دقت‌ها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عقلی بدان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ضمیمه‌شده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196AF1" w:rsidRDefault="00E42465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طرفی دیگر دریافت طبیعی عرفی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 بسیاری موجب نجات از خطاء در استدلال شود.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مشخص است که عرف متسامح در اینجا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موردنظر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196AF1">
        <w:rPr>
          <w:rFonts w:ascii="IRBadr" w:hAnsi="IRBadr" w:cs="IRBadr" w:hint="cs"/>
          <w:sz w:val="28"/>
          <w:szCs w:val="28"/>
          <w:rtl/>
          <w:lang w:bidi="fa-IR"/>
        </w:rPr>
        <w:t xml:space="preserve"> کسی چنین ادعایی را داشته باشد که این بحث فلسفی و استدلالی است و ارتباطی با بحث ارتکازی عرفی ندارد،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جواب</w:t>
      </w:r>
      <w:r w:rsidR="00196AF1">
        <w:rPr>
          <w:rFonts w:ascii="IRBadr" w:hAnsi="IRBadr" w:cs="IRBadr" w:hint="cs"/>
          <w:sz w:val="28"/>
          <w:szCs w:val="28"/>
          <w:rtl/>
          <w:lang w:bidi="fa-IR"/>
        </w:rPr>
        <w:t xml:space="preserve"> فوق را به او خواهیم داد.</w:t>
      </w:r>
    </w:p>
    <w:p w:rsidR="00196AF1" w:rsidRDefault="00196AF1" w:rsidP="00A91011">
      <w:pPr>
        <w:pStyle w:val="Heading2"/>
        <w:rPr>
          <w:rtl/>
        </w:rPr>
      </w:pPr>
      <w:bookmarkStart w:id="8" w:name="_Toc431915668"/>
      <w:r>
        <w:rPr>
          <w:rFonts w:hint="cs"/>
          <w:rtl/>
        </w:rPr>
        <w:t>استدراکی از بحث</w:t>
      </w:r>
      <w:bookmarkEnd w:id="8"/>
    </w:p>
    <w:p w:rsidR="00F25A93" w:rsidRDefault="00196AF1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ضمن اینکه در مباحث مولی و عبید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در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یافت‌های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عرفی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کمک‌کار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 و زمینه تصحیح استدلال را فراهم خواهد نمود.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به‌سادگی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جایگاه عرف را در اینجا نفی نمود.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که عرف در مقابل بدیهیات ضروری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</w:p>
    <w:p w:rsidR="00196AF1" w:rsidRDefault="00196AF1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بسیاری از علماء در استدلالات در مقابل یکدیگر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بوده‌اند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نشان از خطاء در استدلالات است که این ارتکازات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جایگاه مثمر فائده باشد.</w:t>
      </w:r>
    </w:p>
    <w:p w:rsidR="00196AF1" w:rsidRDefault="00196AF1" w:rsidP="00A91011">
      <w:pPr>
        <w:pStyle w:val="Heading2"/>
        <w:rPr>
          <w:rFonts w:hint="cs"/>
          <w:rtl/>
        </w:rPr>
      </w:pPr>
      <w:bookmarkStart w:id="9" w:name="_Toc431915669"/>
      <w:r>
        <w:rPr>
          <w:rFonts w:hint="cs"/>
          <w:rtl/>
        </w:rPr>
        <w:t>زمینه صغروی بحث</w:t>
      </w:r>
      <w:bookmarkEnd w:id="9"/>
    </w:p>
    <w:p w:rsidR="00196AF1" w:rsidRDefault="00196AF1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مطلب دوم در اینجا این است که با توجه به اینکه هم ترکیب اتحادی و هم انضمامی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فهم عرفی در ترکیب انضمامی نشان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درآن‌واحد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مطیع و عاصی بود.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طرفی فهم عرفی در اینجا از قوتی برخوردار است که عقل نیز با آن همراهی دارد.</w:t>
      </w:r>
    </w:p>
    <w:p w:rsidR="00F25A93" w:rsidRDefault="00B50E8D" w:rsidP="00A91011">
      <w:pPr>
        <w:pStyle w:val="Heading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196AF1" w:rsidRDefault="00196AF1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در موارد ترکیب انضمامی توصلی و تعبدی فرقی ندارند.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نگاه به نامحرم در حین اینکه فرد مشغول به نماز است یا فرد صائم است ولی در حال غصب است.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آن‌چنان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ارتکاز عرفی در اینجا از قوت برخوردار است که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استدلال‌ها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مخالف را تخطئه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ترکیب اتحادی</w:t>
      </w:r>
      <w:r w:rsidR="00F25A93">
        <w:rPr>
          <w:rFonts w:ascii="IRBadr" w:hAnsi="IRBadr" w:cs="IRBadr" w:hint="cs"/>
          <w:sz w:val="28"/>
          <w:szCs w:val="28"/>
          <w:rtl/>
          <w:lang w:bidi="fa-IR"/>
        </w:rPr>
        <w:t xml:space="preserve"> که یک فعل مصداق دو عنوان است،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این‌چنین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25A93">
        <w:rPr>
          <w:rFonts w:ascii="IRBadr" w:hAnsi="IRBadr" w:cs="IRBadr" w:hint="cs"/>
          <w:sz w:val="28"/>
          <w:szCs w:val="28"/>
          <w:rtl/>
          <w:lang w:bidi="fa-IR"/>
        </w:rPr>
        <w:t>دارای قوت و وضوح نیست.</w:t>
      </w:r>
    </w:p>
    <w:p w:rsidR="00F25A93" w:rsidRDefault="00F25A93" w:rsidP="00A91011">
      <w:pPr>
        <w:pStyle w:val="Heading2"/>
        <w:rPr>
          <w:rtl/>
        </w:rPr>
      </w:pPr>
      <w:bookmarkStart w:id="10" w:name="_Toc431915671"/>
      <w:r>
        <w:rPr>
          <w:rFonts w:hint="cs"/>
          <w:rtl/>
        </w:rPr>
        <w:t>دلیل هفتم</w:t>
      </w:r>
      <w:bookmarkEnd w:id="10"/>
    </w:p>
    <w:p w:rsidR="00F25A93" w:rsidRDefault="00F25A93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استدلال هفتمی است که مرحوم میرزای قمی در قوانین دارند که اساس استدلال ایشان این است که وجود فرد مقدمه تحقق طبیعت است و مقدمه وجوب ندارد و اوامر به فرد سرایت پیدا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25A93" w:rsidRDefault="00F25A93" w:rsidP="00A91011">
      <w:pPr>
        <w:pStyle w:val="Heading2"/>
        <w:rPr>
          <w:rFonts w:hint="cs"/>
          <w:rtl/>
        </w:rPr>
      </w:pPr>
      <w:bookmarkStart w:id="11" w:name="_Toc431915672"/>
      <w:r>
        <w:rPr>
          <w:rFonts w:hint="cs"/>
          <w:rtl/>
        </w:rPr>
        <w:t>اتخاذ مبنا</w:t>
      </w:r>
      <w:bookmarkEnd w:id="11"/>
    </w:p>
    <w:p w:rsidR="00F25A93" w:rsidRDefault="00F25A93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استدلال صحیح نیست چراکه فرد مقدمه طبیع</w:t>
      </w:r>
      <w:r w:rsidR="003F6C71">
        <w:rPr>
          <w:rFonts w:ascii="IRBadr" w:hAnsi="IRBadr" w:cs="IRBadr" w:hint="cs"/>
          <w:sz w:val="28"/>
          <w:szCs w:val="28"/>
          <w:rtl/>
          <w:lang w:bidi="fa-IR"/>
        </w:rPr>
        <w:t>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بلکه مصداقی از طبیعت است.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نظر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استدلال چندان از اهمیتی برخوردار نیست هرچند که برخی متعرض آن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25A93" w:rsidRDefault="00F25A93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سید در </w:t>
      </w:r>
      <w:r w:rsidR="003F6C71">
        <w:rPr>
          <w:rFonts w:ascii="IRBadr" w:hAnsi="IRBadr" w:cs="IRBadr" w:hint="cs"/>
          <w:sz w:val="28"/>
          <w:szCs w:val="28"/>
          <w:rtl/>
          <w:lang w:bidi="fa-IR"/>
        </w:rPr>
        <w:t>رساله‌ای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اجتماع </w:t>
      </w:r>
      <w:r w:rsidR="003F6C71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 پنج دلیل ذکر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تا اینجا آنچه دارای اهمیت بود ذکر شد.</w:t>
      </w:r>
    </w:p>
    <w:p w:rsidR="00F25A93" w:rsidRDefault="003F6C71" w:rsidP="00A91011">
      <w:pPr>
        <w:pStyle w:val="Heading2"/>
        <w:rPr>
          <w:rtl/>
        </w:rPr>
      </w:pPr>
      <w:bookmarkStart w:id="12" w:name="_Toc431915673"/>
      <w:r>
        <w:rPr>
          <w:rFonts w:hint="cs"/>
          <w:rtl/>
        </w:rPr>
        <w:t>نتیجه‌گیری</w:t>
      </w:r>
      <w:r w:rsidR="00F25A93">
        <w:rPr>
          <w:rFonts w:hint="cs"/>
          <w:rtl/>
        </w:rPr>
        <w:t xml:space="preserve"> کلی بحث</w:t>
      </w:r>
      <w:bookmarkEnd w:id="12"/>
    </w:p>
    <w:p w:rsidR="00F25A93" w:rsidRPr="00F25A93" w:rsidRDefault="00F25A93" w:rsidP="00A91011">
      <w:pPr>
        <w:jc w:val="both"/>
        <w:rPr>
          <w:rtl/>
          <w:lang w:bidi="fa-IR"/>
        </w:rPr>
      </w:pPr>
    </w:p>
    <w:p w:rsidR="00F25A93" w:rsidRDefault="00F25A93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تا اینجا کلام در باب ادله جواز و امتناع به پایان رسید و بهترین استدلال برای امتناع بیان صاحب کفایه بود که مشتمل بر چندین مقدمه بود. ادله مجوزین نیز </w:t>
      </w:r>
      <w:r w:rsidR="003F6C71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 و ما به نحو مطلق به جواز قائل شدیم.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تعدد عنوان را در من وجه موجب تعدد معنون </w:t>
      </w:r>
      <w:r w:rsidR="003F6C71">
        <w:rPr>
          <w:rFonts w:ascii="IRBadr" w:hAnsi="IRBadr" w:cs="IRBadr" w:hint="cs"/>
          <w:sz w:val="28"/>
          <w:szCs w:val="28"/>
          <w:rtl/>
          <w:lang w:bidi="fa-IR"/>
        </w:rPr>
        <w:t>می‌دانیم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عرف را نیز مخالف با این حالت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ی‌دانیم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25A93" w:rsidRDefault="00F25A93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مطلق نیز </w:t>
      </w:r>
      <w:r w:rsidR="003F6C71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نهی تنزیهی باشد جایز است مگر اینکه نهی حالت دیگری را داشته باشد.</w:t>
      </w:r>
    </w:p>
    <w:p w:rsidR="00F25A93" w:rsidRDefault="00F25A93" w:rsidP="00A91011">
      <w:pPr>
        <w:pStyle w:val="Heading3"/>
        <w:rPr>
          <w:rFonts w:hint="cs"/>
          <w:rtl/>
        </w:rPr>
      </w:pPr>
      <w:bookmarkStart w:id="13" w:name="_Toc431915674"/>
      <w:r>
        <w:rPr>
          <w:rFonts w:hint="cs"/>
          <w:rtl/>
        </w:rPr>
        <w:lastRenderedPageBreak/>
        <w:t>تنبیهات مسأله</w:t>
      </w:r>
      <w:bookmarkEnd w:id="13"/>
    </w:p>
    <w:p w:rsidR="00F25A93" w:rsidRDefault="00F25A93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چند مطلب از مواردی که صاحب کفایه در مقدمه ذکر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3F6C71">
        <w:rPr>
          <w:rFonts w:ascii="IRBadr" w:hAnsi="IRBadr" w:cs="IRBadr" w:hint="cs"/>
          <w:sz w:val="28"/>
          <w:szCs w:val="28"/>
          <w:rtl/>
          <w:lang w:bidi="fa-IR"/>
        </w:rPr>
        <w:t xml:space="preserve"> و چندین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که در خود کفایه و سایر کتب </w:t>
      </w:r>
      <w:r w:rsidR="003F6C71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6C71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مؤخرات و تنبیهات ذکر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25A93" w:rsidRDefault="00F25A93" w:rsidP="00A91011">
      <w:pPr>
        <w:pStyle w:val="Heading3"/>
        <w:rPr>
          <w:rFonts w:hint="cs"/>
          <w:rtl/>
        </w:rPr>
      </w:pPr>
      <w:bookmarkStart w:id="14" w:name="_Toc431915675"/>
      <w:r>
        <w:rPr>
          <w:rFonts w:hint="cs"/>
          <w:rtl/>
        </w:rPr>
        <w:t>تنبیه اول</w:t>
      </w:r>
      <w:bookmarkEnd w:id="14"/>
    </w:p>
    <w:p w:rsidR="00F25A93" w:rsidRDefault="00F25A93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اولین تنبیه مقدمه دهم صاحب کفایه و ثمره بحث است؛ ثمره بحث از منظری در عبادات و از منظری در توصلیات است.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قائل به جواز اجتماع شویم،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عبادت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 </w:t>
      </w:r>
      <w:r w:rsidR="003F6C71">
        <w:rPr>
          <w:rFonts w:ascii="IRBadr" w:hAnsi="IRBadr" w:cs="IRBadr" w:hint="cs"/>
          <w:sz w:val="28"/>
          <w:szCs w:val="28"/>
          <w:rtl/>
          <w:lang w:bidi="fa-IR"/>
        </w:rPr>
        <w:t>نهی‌ای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همراه شده باشد چه در ترکیب اتحادی و چه انضمامی،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عبادت صحیح خواهد بود.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F6C71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عبادت را با اختیار و بدون اضطرار انجام دهد عبادت صحیح خواهد بود.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213839">
        <w:rPr>
          <w:rFonts w:ascii="IRBadr" w:hAnsi="IRBadr" w:cs="IRBadr" w:hint="cs"/>
          <w:sz w:val="28"/>
          <w:szCs w:val="28"/>
          <w:rtl/>
          <w:lang w:bidi="fa-IR"/>
        </w:rPr>
        <w:t xml:space="preserve"> ثمره واضح است.</w:t>
      </w:r>
    </w:p>
    <w:p w:rsidR="00213839" w:rsidRDefault="00213839" w:rsidP="00A91011">
      <w:pPr>
        <w:pStyle w:val="Heading3"/>
        <w:rPr>
          <w:rtl/>
        </w:rPr>
      </w:pPr>
      <w:bookmarkStart w:id="15" w:name="_Toc431915676"/>
      <w:r>
        <w:rPr>
          <w:rFonts w:hint="cs"/>
          <w:rtl/>
        </w:rPr>
        <w:t>تفاوت دو مبنا در این مقام</w:t>
      </w:r>
      <w:bookmarkEnd w:id="15"/>
    </w:p>
    <w:p w:rsidR="00213839" w:rsidRDefault="00213839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اگر در اینجا امتناعی شدیم و جانب امر را مقدم نمودیم،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باز نماز صحیح خواهد بود.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فرق این حالت با مورد جواز در این بوده که فرد در اینجا تنها اطاعت نموده ولی در حالت گذشته فرد هم مطیع و هم عاصی بوده است.</w:t>
      </w:r>
    </w:p>
    <w:p w:rsidR="00213839" w:rsidRDefault="00213839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مبنای سوم این است که قائل به امتناع و مقدم جانب نهی باشیم،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گناه محض خواهد بود،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نخواهد بود و غرضی در اینجا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دلیل وجود نهی کشف نمود.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سه حالت در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تعبد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بود.</w:t>
      </w:r>
    </w:p>
    <w:p w:rsidR="00213839" w:rsidRDefault="00213839" w:rsidP="00A91011">
      <w:pPr>
        <w:pStyle w:val="Heading3"/>
        <w:rPr>
          <w:rFonts w:hint="cs"/>
          <w:rtl/>
        </w:rPr>
      </w:pPr>
      <w:bookmarkStart w:id="16" w:name="_Toc431915677"/>
      <w:r>
        <w:rPr>
          <w:rFonts w:hint="cs"/>
          <w:rtl/>
        </w:rPr>
        <w:t>فروض فوق در توصلیات</w:t>
      </w:r>
      <w:bookmarkEnd w:id="16"/>
    </w:p>
    <w:p w:rsidR="00213839" w:rsidRDefault="00213839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فروض فوق را اگر در توصلیات تطبیق دهیم،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حالات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که؛</w:t>
      </w:r>
    </w:p>
    <w:p w:rsidR="00A91011" w:rsidRDefault="00213839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اگر قائل به اجتماع شویم،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 عاصی بوده و هم مطیع حتی فرد 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>م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قصد قربت نماید.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امتناعی بودیم و جانب امر را مقدم نمودیم،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مطیع است</w:t>
      </w:r>
      <w:r w:rsidR="00A91011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13839" w:rsidRDefault="00213839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حالت سوم در کلام صاحب کفایه با عبادات تفاوتی وجود دارد که در توصلیات ممکن است بگوییم صرف تحقق غرض مولی هرچند </w:t>
      </w:r>
      <w:r w:rsidR="003F6C71"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فقدان امر،</w:t>
      </w:r>
      <w:r w:rsidR="00B50E8D">
        <w:rPr>
          <w:rFonts w:ascii="IRBadr" w:hAnsi="IRBadr" w:cs="IRBadr"/>
          <w:sz w:val="28"/>
          <w:szCs w:val="28"/>
          <w:rtl/>
          <w:lang w:bidi="fa-IR"/>
        </w:rPr>
        <w:t xml:space="preserve"> صح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یح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بود.</w:t>
      </w:r>
      <w:r w:rsidR="00A9101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یعنی فرد گناه نموده ولی غرض نیز </w:t>
      </w:r>
      <w:r w:rsidR="00B50E8D">
        <w:rPr>
          <w:rFonts w:ascii="IRBadr" w:hAnsi="IRBadr" w:cs="IRBadr" w:hint="cs"/>
          <w:sz w:val="28"/>
          <w:szCs w:val="28"/>
          <w:rtl/>
          <w:lang w:bidi="fa-IR"/>
        </w:rPr>
        <w:t>حاصل‌شده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جلسه آینده ان شاء الله روی نکته اخیر یعنی فرض تفاوت بحث خواهیم نمود.</w:t>
      </w:r>
    </w:p>
    <w:p w:rsidR="00213839" w:rsidRPr="00F25A93" w:rsidRDefault="00213839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F25A93" w:rsidRDefault="00F25A93" w:rsidP="00A91011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</w:p>
    <w:p w:rsidR="00E42465" w:rsidRPr="00F75521" w:rsidRDefault="00E42465" w:rsidP="00A9101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E42465" w:rsidRPr="00F75521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60" w:rsidRDefault="006D4760" w:rsidP="000D5800">
      <w:pPr>
        <w:spacing w:after="0" w:line="240" w:lineRule="auto"/>
      </w:pPr>
      <w:r>
        <w:separator/>
      </w:r>
    </w:p>
  </w:endnote>
  <w:endnote w:type="continuationSeparator" w:id="0">
    <w:p w:rsidR="006D4760" w:rsidRDefault="006D4760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D" w:rsidRDefault="00B50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D" w:rsidRDefault="00B50E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D" w:rsidRDefault="00B50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60" w:rsidRDefault="006D4760" w:rsidP="000D5800">
      <w:pPr>
        <w:spacing w:after="0" w:line="240" w:lineRule="auto"/>
      </w:pPr>
      <w:r>
        <w:separator/>
      </w:r>
    </w:p>
  </w:footnote>
  <w:footnote w:type="continuationSeparator" w:id="0">
    <w:p w:rsidR="006D4760" w:rsidRDefault="006D4760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D" w:rsidRDefault="00B50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75521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3B3F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F75521">
      <w:rPr>
        <w:rFonts w:ascii="IranNastaliq" w:hAnsi="IranNastaliq" w:cs="IranNastaliq" w:hint="cs"/>
        <w:sz w:val="40"/>
        <w:szCs w:val="40"/>
        <w:rtl/>
        <w:lang w:bidi="fa-IR"/>
      </w:rPr>
      <w:t>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8D" w:rsidRDefault="00B50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6AF1"/>
    <w:rsid w:val="00197CDD"/>
    <w:rsid w:val="001B6646"/>
    <w:rsid w:val="001C367D"/>
    <w:rsid w:val="001D24F8"/>
    <w:rsid w:val="001E306E"/>
    <w:rsid w:val="001E3FB0"/>
    <w:rsid w:val="001E4FFF"/>
    <w:rsid w:val="001F2E3E"/>
    <w:rsid w:val="00213839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3F6C71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D4760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1C06"/>
    <w:rsid w:val="00A90ACB"/>
    <w:rsid w:val="00A91011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50E8D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42465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67E0"/>
    <w:rsid w:val="00EF138C"/>
    <w:rsid w:val="00F034CE"/>
    <w:rsid w:val="00F10A0F"/>
    <w:rsid w:val="00F25A93"/>
    <w:rsid w:val="00F40284"/>
    <w:rsid w:val="00F67976"/>
    <w:rsid w:val="00F70BE1"/>
    <w:rsid w:val="00F7552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E31C3-10A9-41DB-BB4C-81FD5099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133</TotalTime>
  <Pages>6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44</cp:revision>
  <dcterms:created xsi:type="dcterms:W3CDTF">2014-11-18T06:47:00Z</dcterms:created>
  <dcterms:modified xsi:type="dcterms:W3CDTF">2015-10-06T13:59:00Z</dcterms:modified>
</cp:coreProperties>
</file>