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99" w:rsidRDefault="007E5B41" w:rsidP="00382B99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45619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456192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382B99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382B99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382B99">
        <w:rPr>
          <w:rFonts w:ascii="IRBadr" w:hAnsi="IRBadr" w:cs="IRBadr"/>
          <w:sz w:val="28"/>
          <w:szCs w:val="28"/>
          <w:lang w:bidi="fa-IR"/>
        </w:rPr>
        <w:instrText>TOC</w:instrText>
      </w:r>
      <w:r w:rsidR="00382B99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382B99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382B99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382B99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382B99" w:rsidRDefault="00661985" w:rsidP="00382B99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62" w:history="1">
        <w:r w:rsidR="00382B99" w:rsidRPr="00D65F30">
          <w:rPr>
            <w:rStyle w:val="Hyperlink"/>
            <w:rFonts w:hint="eastAsia"/>
            <w:noProof/>
            <w:rtl/>
          </w:rPr>
          <w:t>اجتماع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7E5B41">
          <w:rPr>
            <w:rStyle w:val="Hyperlink"/>
            <w:rFonts w:hint="eastAsia"/>
            <w:noProof/>
            <w:rtl/>
          </w:rPr>
          <w:t>امرونهی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_Toc432187262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2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661985" w:rsidP="00382B99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63" w:history="1">
        <w:r w:rsidR="00382B99" w:rsidRPr="00D65F30">
          <w:rPr>
            <w:rStyle w:val="Hyperlink"/>
            <w:rFonts w:hint="eastAsia"/>
            <w:noProof/>
            <w:rtl/>
          </w:rPr>
          <w:t>مرور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بحث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سابق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_Toc432187263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2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661985" w:rsidP="00382B9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64" w:history="1">
        <w:r w:rsidR="00382B99" w:rsidRPr="00D65F30">
          <w:rPr>
            <w:rStyle w:val="Hyperlink"/>
            <w:rFonts w:hint="eastAsia"/>
            <w:noProof/>
            <w:rtl/>
          </w:rPr>
          <w:t>پاسخ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به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استدلال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س</w:t>
        </w:r>
        <w:r w:rsidR="00382B99" w:rsidRPr="00D65F30">
          <w:rPr>
            <w:rStyle w:val="Hyperlink"/>
            <w:rFonts w:hint="cs"/>
            <w:noProof/>
            <w:rtl/>
          </w:rPr>
          <w:t>ی</w:t>
        </w:r>
        <w:r w:rsidR="00382B99" w:rsidRPr="00D65F30">
          <w:rPr>
            <w:rStyle w:val="Hyperlink"/>
            <w:rFonts w:hint="eastAsia"/>
            <w:noProof/>
            <w:rtl/>
          </w:rPr>
          <w:t>د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_Toc432187264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2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661985" w:rsidP="00382B9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65" w:history="1">
        <w:r w:rsidR="00382B99" w:rsidRPr="00D65F30">
          <w:rPr>
            <w:rStyle w:val="Hyperlink"/>
            <w:rFonts w:hint="eastAsia"/>
            <w:noProof/>
            <w:rtl/>
          </w:rPr>
          <w:t>پاسخ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اول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_Toc432187265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2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661985" w:rsidP="00382B9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66" w:history="1">
        <w:r w:rsidR="00382B99" w:rsidRPr="00D65F30">
          <w:rPr>
            <w:rStyle w:val="Hyperlink"/>
            <w:rFonts w:hint="eastAsia"/>
            <w:noProof/>
            <w:rtl/>
          </w:rPr>
          <w:t>پاسخ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دوم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_Toc432187266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2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661985" w:rsidP="00382B9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67" w:history="1">
        <w:r w:rsidR="00382B99" w:rsidRPr="00D65F30">
          <w:rPr>
            <w:rStyle w:val="Hyperlink"/>
            <w:rFonts w:hint="eastAsia"/>
            <w:noProof/>
            <w:rtl/>
          </w:rPr>
          <w:t>اشکال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دوم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به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مسأله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_Toc432187267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3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661985" w:rsidP="00382B9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68" w:history="1">
        <w:r w:rsidR="00382B99" w:rsidRPr="00D65F30">
          <w:rPr>
            <w:rStyle w:val="Hyperlink"/>
            <w:rFonts w:hint="eastAsia"/>
            <w:noProof/>
            <w:rtl/>
          </w:rPr>
          <w:t>اشکال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مرحوم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نائ</w:t>
        </w:r>
        <w:r w:rsidR="00382B99" w:rsidRPr="00D65F30">
          <w:rPr>
            <w:rStyle w:val="Hyperlink"/>
            <w:rFonts w:hint="cs"/>
            <w:noProof/>
            <w:rtl/>
          </w:rPr>
          <w:t>ی</w:t>
        </w:r>
        <w:r w:rsidR="00382B99" w:rsidRPr="00D65F30">
          <w:rPr>
            <w:rStyle w:val="Hyperlink"/>
            <w:rFonts w:hint="eastAsia"/>
            <w:noProof/>
            <w:rtl/>
          </w:rPr>
          <w:t>ن</w:t>
        </w:r>
        <w:r w:rsidR="00382B99" w:rsidRPr="00D65F30">
          <w:rPr>
            <w:rStyle w:val="Hyperlink"/>
            <w:rFonts w:hint="cs"/>
            <w:noProof/>
            <w:rtl/>
          </w:rPr>
          <w:t>ی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_Toc432187268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3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661985" w:rsidP="00382B9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69" w:history="1">
        <w:r w:rsidR="00382B99" w:rsidRPr="00D65F30">
          <w:rPr>
            <w:rStyle w:val="Hyperlink"/>
            <w:rFonts w:hint="eastAsia"/>
            <w:noProof/>
            <w:rtl/>
          </w:rPr>
          <w:t>بررس</w:t>
        </w:r>
        <w:r w:rsidR="00382B99" w:rsidRPr="00D65F30">
          <w:rPr>
            <w:rStyle w:val="Hyperlink"/>
            <w:rFonts w:hint="cs"/>
            <w:noProof/>
            <w:rtl/>
          </w:rPr>
          <w:t>ی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استدلال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فوق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_Toc432187269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3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661985" w:rsidP="00382B9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70" w:history="1">
        <w:r w:rsidR="00382B99" w:rsidRPr="00D65F30">
          <w:rPr>
            <w:rStyle w:val="Hyperlink"/>
            <w:rFonts w:hint="eastAsia"/>
            <w:noProof/>
            <w:rtl/>
          </w:rPr>
          <w:t>راه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ها</w:t>
        </w:r>
        <w:r w:rsidR="00382B99" w:rsidRPr="00D65F30">
          <w:rPr>
            <w:rStyle w:val="Hyperlink"/>
            <w:rFonts w:hint="cs"/>
            <w:noProof/>
            <w:rtl/>
          </w:rPr>
          <w:t>ی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تصح</w:t>
        </w:r>
        <w:r w:rsidR="00382B99" w:rsidRPr="00D65F30">
          <w:rPr>
            <w:rStyle w:val="Hyperlink"/>
            <w:rFonts w:hint="cs"/>
            <w:noProof/>
            <w:rtl/>
          </w:rPr>
          <w:t>ی</w:t>
        </w:r>
        <w:r w:rsidR="00382B99" w:rsidRPr="00D65F30">
          <w:rPr>
            <w:rStyle w:val="Hyperlink"/>
            <w:rFonts w:hint="eastAsia"/>
            <w:noProof/>
            <w:rtl/>
          </w:rPr>
          <w:t>ح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عمل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_Toc432187270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3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661985" w:rsidP="00382B9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71" w:history="1">
        <w:r w:rsidR="00382B99" w:rsidRPr="00D65F30">
          <w:rPr>
            <w:rStyle w:val="Hyperlink"/>
            <w:rFonts w:hint="eastAsia"/>
            <w:noProof/>
            <w:rtl/>
          </w:rPr>
          <w:t>عل</w:t>
        </w:r>
        <w:r w:rsidR="00382B99" w:rsidRPr="00D65F30">
          <w:rPr>
            <w:rStyle w:val="Hyperlink"/>
            <w:rFonts w:hint="cs"/>
            <w:noProof/>
            <w:rtl/>
          </w:rPr>
          <w:t>ی</w:t>
        </w:r>
        <w:r w:rsidR="00382B99" w:rsidRPr="00D65F30">
          <w:rPr>
            <w:rStyle w:val="Hyperlink"/>
            <w:rFonts w:hint="eastAsia"/>
            <w:noProof/>
            <w:rtl/>
          </w:rPr>
          <w:t>ت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مسأله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_Toc432187271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3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661985" w:rsidP="00382B9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72" w:history="1">
        <w:r w:rsidR="00382B99" w:rsidRPr="00D65F30">
          <w:rPr>
            <w:rStyle w:val="Hyperlink"/>
            <w:rFonts w:hint="eastAsia"/>
            <w:noProof/>
            <w:rtl/>
          </w:rPr>
          <w:t>مقدمات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استدلال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_Toc432187272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4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661985" w:rsidP="00382B9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73" w:history="1">
        <w:r w:rsidR="00382B99" w:rsidRPr="00D65F30">
          <w:rPr>
            <w:rStyle w:val="Hyperlink"/>
            <w:rFonts w:hint="eastAsia"/>
            <w:noProof/>
            <w:rtl/>
          </w:rPr>
          <w:t>مقدمه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اول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_Toc432187273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4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661985" w:rsidP="00382B9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74" w:history="1">
        <w:r w:rsidR="00382B99" w:rsidRPr="00D65F30">
          <w:rPr>
            <w:rStyle w:val="Hyperlink"/>
            <w:rFonts w:hint="eastAsia"/>
            <w:noProof/>
            <w:rtl/>
          </w:rPr>
          <w:t>د</w:t>
        </w:r>
        <w:r w:rsidR="00382B99" w:rsidRPr="00D65F30">
          <w:rPr>
            <w:rStyle w:val="Hyperlink"/>
            <w:rFonts w:hint="cs"/>
            <w:noProof/>
            <w:rtl/>
          </w:rPr>
          <w:t>ی</w:t>
        </w:r>
        <w:r w:rsidR="00382B99" w:rsidRPr="00D65F30">
          <w:rPr>
            <w:rStyle w:val="Hyperlink"/>
            <w:rFonts w:hint="eastAsia"/>
            <w:noProof/>
            <w:rtl/>
          </w:rPr>
          <w:t>دگاه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ها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بر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اشتراط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قدرت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_Toc432187274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4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661985" w:rsidP="00382B9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75" w:history="1">
        <w:r w:rsidR="00382B99" w:rsidRPr="00D65F30">
          <w:rPr>
            <w:rStyle w:val="Hyperlink"/>
            <w:rFonts w:hint="eastAsia"/>
            <w:noProof/>
            <w:rtl/>
          </w:rPr>
          <w:t>د</w:t>
        </w:r>
        <w:r w:rsidR="00382B99" w:rsidRPr="00D65F30">
          <w:rPr>
            <w:rStyle w:val="Hyperlink"/>
            <w:rFonts w:hint="cs"/>
            <w:noProof/>
            <w:rtl/>
          </w:rPr>
          <w:t>ی</w:t>
        </w:r>
        <w:r w:rsidR="00382B99" w:rsidRPr="00D65F30">
          <w:rPr>
            <w:rStyle w:val="Hyperlink"/>
            <w:rFonts w:hint="eastAsia"/>
            <w:noProof/>
            <w:rtl/>
          </w:rPr>
          <w:t>دگاه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اول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_Toc432187275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4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661985" w:rsidP="00382B9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76" w:history="1">
        <w:r w:rsidR="00382B99" w:rsidRPr="00D65F30">
          <w:rPr>
            <w:rStyle w:val="Hyperlink"/>
            <w:rFonts w:hint="eastAsia"/>
            <w:noProof/>
            <w:rtl/>
          </w:rPr>
          <w:t>د</w:t>
        </w:r>
        <w:r w:rsidR="00382B99" w:rsidRPr="00D65F30">
          <w:rPr>
            <w:rStyle w:val="Hyperlink"/>
            <w:rFonts w:hint="cs"/>
            <w:noProof/>
            <w:rtl/>
          </w:rPr>
          <w:t>ی</w:t>
        </w:r>
        <w:r w:rsidR="00382B99" w:rsidRPr="00D65F30">
          <w:rPr>
            <w:rStyle w:val="Hyperlink"/>
            <w:rFonts w:hint="eastAsia"/>
            <w:noProof/>
            <w:rtl/>
          </w:rPr>
          <w:t>دگاه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دوم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_Toc432187276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4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661985" w:rsidP="00382B9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77" w:history="1">
        <w:r w:rsidR="00382B99" w:rsidRPr="00D65F30">
          <w:rPr>
            <w:rStyle w:val="Hyperlink"/>
            <w:rFonts w:hint="eastAsia"/>
            <w:noProof/>
            <w:rtl/>
          </w:rPr>
          <w:t>د</w:t>
        </w:r>
        <w:r w:rsidR="00382B99" w:rsidRPr="00D65F30">
          <w:rPr>
            <w:rStyle w:val="Hyperlink"/>
            <w:rFonts w:hint="cs"/>
            <w:noProof/>
            <w:rtl/>
          </w:rPr>
          <w:t>ی</w:t>
        </w:r>
        <w:r w:rsidR="00382B99" w:rsidRPr="00D65F30">
          <w:rPr>
            <w:rStyle w:val="Hyperlink"/>
            <w:rFonts w:hint="eastAsia"/>
            <w:noProof/>
            <w:rtl/>
          </w:rPr>
          <w:t>دگاه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سوم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_Toc432187277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4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661985" w:rsidP="00382B9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78" w:history="1">
        <w:r w:rsidR="00382B99" w:rsidRPr="00D65F30">
          <w:rPr>
            <w:rStyle w:val="Hyperlink"/>
            <w:rFonts w:hint="eastAsia"/>
            <w:noProof/>
            <w:rtl/>
          </w:rPr>
          <w:t>تشر</w:t>
        </w:r>
        <w:r w:rsidR="00382B99" w:rsidRPr="00D65F30">
          <w:rPr>
            <w:rStyle w:val="Hyperlink"/>
            <w:rFonts w:hint="cs"/>
            <w:noProof/>
            <w:rtl/>
          </w:rPr>
          <w:t>ی</w:t>
        </w:r>
        <w:r w:rsidR="00382B99" w:rsidRPr="00D65F30">
          <w:rPr>
            <w:rStyle w:val="Hyperlink"/>
            <w:rFonts w:hint="eastAsia"/>
            <w:noProof/>
            <w:rtl/>
          </w:rPr>
          <w:t>ح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د</w:t>
        </w:r>
        <w:r w:rsidR="00382B99" w:rsidRPr="00D65F30">
          <w:rPr>
            <w:rStyle w:val="Hyperlink"/>
            <w:rFonts w:hint="cs"/>
            <w:noProof/>
            <w:rtl/>
          </w:rPr>
          <w:t>ی</w:t>
        </w:r>
        <w:r w:rsidR="00382B99" w:rsidRPr="00D65F30">
          <w:rPr>
            <w:rStyle w:val="Hyperlink"/>
            <w:rFonts w:hint="eastAsia"/>
            <w:noProof/>
            <w:rtl/>
          </w:rPr>
          <w:t>دگاه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مرحوم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نائ</w:t>
        </w:r>
        <w:r w:rsidR="00382B99" w:rsidRPr="00D65F30">
          <w:rPr>
            <w:rStyle w:val="Hyperlink"/>
            <w:rFonts w:hint="cs"/>
            <w:noProof/>
            <w:rtl/>
          </w:rPr>
          <w:t>ی</w:t>
        </w:r>
        <w:r w:rsidR="00382B99" w:rsidRPr="00D65F30">
          <w:rPr>
            <w:rStyle w:val="Hyperlink"/>
            <w:rFonts w:hint="eastAsia"/>
            <w:noProof/>
            <w:rtl/>
          </w:rPr>
          <w:t>ن</w:t>
        </w:r>
        <w:r w:rsidR="00382B99" w:rsidRPr="00D65F30">
          <w:rPr>
            <w:rStyle w:val="Hyperlink"/>
            <w:rFonts w:hint="cs"/>
            <w:noProof/>
            <w:rtl/>
          </w:rPr>
          <w:t>ی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در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ا</w:t>
        </w:r>
        <w:r w:rsidR="00382B99" w:rsidRPr="00D65F30">
          <w:rPr>
            <w:rStyle w:val="Hyperlink"/>
            <w:rFonts w:hint="cs"/>
            <w:noProof/>
            <w:rtl/>
          </w:rPr>
          <w:t>ی</w:t>
        </w:r>
        <w:r w:rsidR="00382B99" w:rsidRPr="00D65F30">
          <w:rPr>
            <w:rStyle w:val="Hyperlink"/>
            <w:rFonts w:hint="eastAsia"/>
            <w:noProof/>
            <w:rtl/>
          </w:rPr>
          <w:t>ن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مقام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_Toc432187278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4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661985" w:rsidP="00382B9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79" w:history="1">
        <w:r w:rsidR="00382B99" w:rsidRPr="00D65F30">
          <w:rPr>
            <w:rStyle w:val="Hyperlink"/>
            <w:rFonts w:hint="eastAsia"/>
            <w:noProof/>
            <w:rtl/>
          </w:rPr>
          <w:t>مقدمه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دوم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_Toc432187279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5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661985" w:rsidP="00382B9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80" w:history="1">
        <w:r w:rsidR="00382B99" w:rsidRPr="00D65F30">
          <w:rPr>
            <w:rStyle w:val="Hyperlink"/>
            <w:rFonts w:hint="eastAsia"/>
            <w:noProof/>
            <w:rtl/>
          </w:rPr>
          <w:t>مقدمه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سوم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_Toc432187280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5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661985" w:rsidP="00382B9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81" w:history="1">
        <w:r w:rsidR="007E5B41">
          <w:rPr>
            <w:rStyle w:val="Hyperlink"/>
            <w:rFonts w:hint="eastAsia"/>
            <w:noProof/>
            <w:rtl/>
          </w:rPr>
          <w:t>نتیجه‌گیری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_Toc432187281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5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661985" w:rsidP="00382B9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82" w:history="1">
        <w:r w:rsidR="00382B99" w:rsidRPr="00D65F30">
          <w:rPr>
            <w:rStyle w:val="Hyperlink"/>
            <w:rFonts w:hint="eastAsia"/>
            <w:noProof/>
            <w:rtl/>
          </w:rPr>
          <w:t>مناقشات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7E5B41">
          <w:rPr>
            <w:rStyle w:val="Hyperlink"/>
            <w:rFonts w:hint="eastAsia"/>
            <w:noProof/>
            <w:rtl/>
          </w:rPr>
          <w:t>آقای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خو</w:t>
        </w:r>
        <w:r w:rsidR="00382B99" w:rsidRPr="00D65F30">
          <w:rPr>
            <w:rStyle w:val="Hyperlink"/>
            <w:rFonts w:hint="cs"/>
            <w:noProof/>
            <w:rtl/>
          </w:rPr>
          <w:t>یی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در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استدلال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فوق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_Toc432187282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5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661985" w:rsidP="00382B9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83" w:history="1">
        <w:r w:rsidR="00382B99" w:rsidRPr="00D65F30">
          <w:rPr>
            <w:rStyle w:val="Hyperlink"/>
            <w:rFonts w:hint="eastAsia"/>
            <w:noProof/>
            <w:rtl/>
          </w:rPr>
          <w:t>اشکال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اول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_Toc432187283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5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661985" w:rsidP="00382B9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84" w:history="1">
        <w:r w:rsidR="00382B99" w:rsidRPr="00D65F30">
          <w:rPr>
            <w:rStyle w:val="Hyperlink"/>
            <w:rFonts w:hint="eastAsia"/>
            <w:noProof/>
            <w:rtl/>
          </w:rPr>
          <w:t>اتخاذ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مبنا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_Toc432187284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6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661985" w:rsidP="00382B9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87285" w:history="1">
        <w:r w:rsidR="00382B99" w:rsidRPr="00D65F30">
          <w:rPr>
            <w:rStyle w:val="Hyperlink"/>
            <w:rFonts w:hint="eastAsia"/>
            <w:noProof/>
            <w:rtl/>
          </w:rPr>
          <w:t>اشکال</w:t>
        </w:r>
        <w:r w:rsidR="00382B99" w:rsidRPr="00D65F30">
          <w:rPr>
            <w:rStyle w:val="Hyperlink"/>
            <w:noProof/>
            <w:rtl/>
          </w:rPr>
          <w:t xml:space="preserve"> </w:t>
        </w:r>
        <w:r w:rsidR="00382B99" w:rsidRPr="00D65F30">
          <w:rPr>
            <w:rStyle w:val="Hyperlink"/>
            <w:rFonts w:hint="eastAsia"/>
            <w:noProof/>
            <w:rtl/>
          </w:rPr>
          <w:t>دوم</w:t>
        </w:r>
        <w:r w:rsidR="00382B99">
          <w:rPr>
            <w:noProof/>
            <w:webHidden/>
          </w:rPr>
          <w:tab/>
        </w:r>
        <w:r w:rsidR="00382B99">
          <w:rPr>
            <w:rStyle w:val="Hyperlink"/>
            <w:noProof/>
            <w:rtl/>
          </w:rPr>
          <w:fldChar w:fldCharType="begin"/>
        </w:r>
        <w:r w:rsidR="00382B99">
          <w:rPr>
            <w:noProof/>
            <w:webHidden/>
          </w:rPr>
          <w:instrText xml:space="preserve"> PAGEREF _Toc432187285 \h </w:instrText>
        </w:r>
        <w:r w:rsidR="00382B99">
          <w:rPr>
            <w:rStyle w:val="Hyperlink"/>
            <w:noProof/>
            <w:rtl/>
          </w:rPr>
        </w:r>
        <w:r w:rsidR="00382B99">
          <w:rPr>
            <w:rStyle w:val="Hyperlink"/>
            <w:noProof/>
            <w:rtl/>
          </w:rPr>
          <w:fldChar w:fldCharType="separate"/>
        </w:r>
        <w:r w:rsidR="00382B99">
          <w:rPr>
            <w:noProof/>
            <w:webHidden/>
          </w:rPr>
          <w:t>6</w:t>
        </w:r>
        <w:r w:rsidR="00382B99">
          <w:rPr>
            <w:rStyle w:val="Hyperlink"/>
            <w:noProof/>
            <w:rtl/>
          </w:rPr>
          <w:fldChar w:fldCharType="end"/>
        </w:r>
      </w:hyperlink>
    </w:p>
    <w:p w:rsidR="00382B99" w:rsidRDefault="00382B99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382B99" w:rsidRDefault="00382B99" w:rsidP="00382B99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43705A" w:rsidRDefault="0043705A" w:rsidP="00382B99">
      <w:pPr>
        <w:pStyle w:val="Heading1"/>
        <w:rPr>
          <w:rtl/>
        </w:rPr>
      </w:pPr>
      <w:bookmarkStart w:id="1" w:name="_Toc432187262"/>
      <w:r>
        <w:rPr>
          <w:rFonts w:hint="cs"/>
          <w:rtl/>
        </w:rPr>
        <w:lastRenderedPageBreak/>
        <w:t xml:space="preserve">اجتماع </w:t>
      </w:r>
      <w:r w:rsidR="007E5B41">
        <w:rPr>
          <w:rFonts w:hint="cs"/>
          <w:rtl/>
        </w:rPr>
        <w:t>امرونهی</w:t>
      </w:r>
      <w:bookmarkEnd w:id="1"/>
    </w:p>
    <w:p w:rsidR="0043705A" w:rsidRDefault="0043705A" w:rsidP="00382B99">
      <w:pPr>
        <w:pStyle w:val="Heading1"/>
        <w:rPr>
          <w:rtl/>
        </w:rPr>
      </w:pPr>
      <w:bookmarkStart w:id="2" w:name="_Toc432187263"/>
      <w:r>
        <w:rPr>
          <w:rFonts w:hint="cs"/>
          <w:rtl/>
        </w:rPr>
        <w:t>مرور بحث سابق</w:t>
      </w:r>
      <w:bookmarkEnd w:id="2"/>
    </w:p>
    <w:p w:rsidR="00456192" w:rsidRDefault="0043705A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تنبیه اول در ثمره اقوال در باب اجتماع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ازلحاظ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احکام مترتبه بر آن بود.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فرمایش مرحوم آخوند محور قرار گرفت که قول به جواز مستلزم عمل به هر دو عنوان است؛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توصلی و چه تعبدی.</w:t>
      </w:r>
    </w:p>
    <w:p w:rsidR="0043705A" w:rsidRDefault="0043705A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صورت دوم این بود که فرد قائل به امتناع باشد و جانب امر را مقدم بدارد که در این صورت اتیان به مجمع صحیح بود.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سوم این بود که امتناع را قائل باشد و نهی را مقدم بدارد که در اینجا ایشان قائل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به‌تفصیل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که سابقاً بیان شد.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حقیقت تفاصیل را کنار گذاشتیم و گفتیم که اتیان به مجمع برخلاف قول مشهور،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صح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یح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نیست.</w:t>
      </w:r>
    </w:p>
    <w:p w:rsidR="0043705A" w:rsidRDefault="0043705A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صورت دوم مخالفی و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جود ندارد اما در صورت اول یعنی ق</w:t>
      </w:r>
      <w:r>
        <w:rPr>
          <w:rFonts w:ascii="IRBadr" w:hAnsi="IRBadr" w:cs="IRBadr" w:hint="cs"/>
          <w:sz w:val="28"/>
          <w:szCs w:val="28"/>
          <w:rtl/>
          <w:lang w:bidi="fa-IR"/>
        </w:rPr>
        <w:t>ول به جواز،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صاحب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کفایه قائل به صحت به نحو مطلق بود؛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تمام حالات جهل و علم یا توصلی و یا تعبدی بودن حکم.</w:t>
      </w:r>
    </w:p>
    <w:p w:rsidR="00E05617" w:rsidRDefault="00E05617" w:rsidP="00382B99">
      <w:pPr>
        <w:pStyle w:val="Heading2"/>
        <w:rPr>
          <w:rtl/>
        </w:rPr>
      </w:pPr>
      <w:bookmarkStart w:id="3" w:name="_Toc432187264"/>
      <w:r>
        <w:rPr>
          <w:rFonts w:hint="cs"/>
          <w:rtl/>
        </w:rPr>
        <w:t>پاسخ به استدلال سید</w:t>
      </w:r>
      <w:bookmarkEnd w:id="3"/>
    </w:p>
    <w:p w:rsidR="00E05617" w:rsidRDefault="00E05617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0561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نکته‌ای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اینجا باقی ماند این بود که ایشان به روایاتی تمسک کردند که از این روایات جواب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داده‌شده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E05617" w:rsidRDefault="00E05617" w:rsidP="00382B99">
      <w:pPr>
        <w:pStyle w:val="Heading2"/>
        <w:rPr>
          <w:rtl/>
        </w:rPr>
      </w:pPr>
      <w:bookmarkStart w:id="4" w:name="_Toc432187265"/>
      <w:r>
        <w:rPr>
          <w:rFonts w:hint="cs"/>
          <w:rtl/>
        </w:rPr>
        <w:t>پاسخ اول</w:t>
      </w:r>
      <w:bookmarkEnd w:id="4"/>
    </w:p>
    <w:p w:rsidR="0043705A" w:rsidRDefault="0043705A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جواب اول اشکال سندی به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آن‌هاست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باید در جای خود بحث شود.</w:t>
      </w:r>
    </w:p>
    <w:p w:rsidR="00E05617" w:rsidRDefault="00E05617" w:rsidP="00382B99">
      <w:pPr>
        <w:pStyle w:val="Heading2"/>
        <w:rPr>
          <w:rtl/>
        </w:rPr>
      </w:pPr>
      <w:bookmarkStart w:id="5" w:name="_Toc432187266"/>
      <w:r>
        <w:rPr>
          <w:rFonts w:hint="cs"/>
          <w:rtl/>
        </w:rPr>
        <w:t>پاسخ دوم</w:t>
      </w:r>
      <w:bookmarkEnd w:id="5"/>
    </w:p>
    <w:p w:rsidR="0043705A" w:rsidRDefault="0043705A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جواب دوم قائل است این حالت در مواردی است که وحدت وجود داشته باشد اما در موارد انضمامی یا اتحادی دارای متعدد،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اطلاق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روایت آن را در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برنمی‌گیرد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به‌احتمال‌قوی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معنایش این است که همان عمل معصیتی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مقرب باشد و موارد دیگر را در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ب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برنم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فرمایش مرحوم سید کنار خواهد رفت و اگر قائل به جواز شدیم باید قائل به صحت عمل شویم.</w:t>
      </w:r>
    </w:p>
    <w:p w:rsidR="00E05617" w:rsidRDefault="00E05617" w:rsidP="00382B99">
      <w:pPr>
        <w:pStyle w:val="Heading2"/>
        <w:rPr>
          <w:rtl/>
        </w:rPr>
      </w:pPr>
      <w:bookmarkStart w:id="6" w:name="_Toc432187267"/>
      <w:r>
        <w:rPr>
          <w:rFonts w:hint="cs"/>
          <w:rtl/>
        </w:rPr>
        <w:lastRenderedPageBreak/>
        <w:t>اشکال دوم به مسأله</w:t>
      </w:r>
      <w:bookmarkEnd w:id="6"/>
    </w:p>
    <w:p w:rsidR="00E05617" w:rsidRDefault="00E05617" w:rsidP="00382B99">
      <w:pPr>
        <w:pStyle w:val="Heading2"/>
        <w:rPr>
          <w:rtl/>
        </w:rPr>
      </w:pPr>
      <w:bookmarkStart w:id="7" w:name="_Toc432187268"/>
      <w:r>
        <w:rPr>
          <w:rFonts w:hint="cs"/>
          <w:rtl/>
        </w:rPr>
        <w:t>اشکال مرحوم نائینی</w:t>
      </w:r>
      <w:bookmarkEnd w:id="7"/>
    </w:p>
    <w:p w:rsidR="0043705A" w:rsidRDefault="0043705A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دومین اشکال به این مسأله این است که؛</w:t>
      </w:r>
    </w:p>
    <w:p w:rsidR="0043705A" w:rsidRDefault="0043705A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از مرحوم نائینی در اجوبة التقریرات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شاگردشان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خویی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به‌خوبی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محاضرات نقل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جواز در صورت پذیرش،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دید فرد علم دارد یا خیر؟ در صورت علم صحیح نیست.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ایشان مرز و شاخص صحت عمل را جواز و امتناع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 را علم و جهل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ی‌دانند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برخلاف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آنچه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کفایه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که ملاک را جواز یا امتناع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ی‌دانستند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E05617" w:rsidRDefault="007E5B41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E05617">
        <w:rPr>
          <w:rFonts w:ascii="IRBadr" w:hAnsi="IRBadr" w:cs="IRBadr" w:hint="cs"/>
          <w:sz w:val="28"/>
          <w:szCs w:val="28"/>
          <w:rtl/>
          <w:lang w:bidi="fa-IR"/>
        </w:rPr>
        <w:t xml:space="preserve"> در فرض علم چه مجوز و چه </w:t>
      </w:r>
      <w:r>
        <w:rPr>
          <w:rFonts w:ascii="IRBadr" w:hAnsi="IRBadr" w:cs="IRBadr" w:hint="cs"/>
          <w:sz w:val="28"/>
          <w:szCs w:val="28"/>
          <w:rtl/>
          <w:lang w:bidi="fa-IR"/>
        </w:rPr>
        <w:t>منع‌کننده</w:t>
      </w:r>
      <w:r w:rsidR="00E05617">
        <w:rPr>
          <w:rFonts w:ascii="IRBadr" w:hAnsi="IRBadr" w:cs="IRBadr" w:hint="cs"/>
          <w:sz w:val="28"/>
          <w:szCs w:val="28"/>
          <w:rtl/>
          <w:lang w:bidi="fa-IR"/>
        </w:rPr>
        <w:t xml:space="preserve"> باشیم،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 w:rsidR="00E05617">
        <w:rPr>
          <w:rFonts w:ascii="IRBadr" w:hAnsi="IRBadr" w:cs="IRBadr" w:hint="cs"/>
          <w:sz w:val="28"/>
          <w:szCs w:val="28"/>
          <w:rtl/>
          <w:lang w:bidi="fa-IR"/>
        </w:rPr>
        <w:t xml:space="preserve"> عدم صحت خواهد بود.</w:t>
      </w:r>
    </w:p>
    <w:p w:rsidR="00E05617" w:rsidRDefault="00E05617" w:rsidP="00382B99">
      <w:pPr>
        <w:pStyle w:val="Heading2"/>
        <w:rPr>
          <w:rtl/>
        </w:rPr>
      </w:pPr>
      <w:bookmarkStart w:id="8" w:name="_Toc432187269"/>
      <w:r>
        <w:rPr>
          <w:rFonts w:hint="cs"/>
          <w:rtl/>
        </w:rPr>
        <w:t>بررسی استدلال فوق</w:t>
      </w:r>
      <w:bookmarkEnd w:id="8"/>
    </w:p>
    <w:p w:rsidR="00E05617" w:rsidRDefault="007E5B41" w:rsidP="00382B99">
      <w:pPr>
        <w:pStyle w:val="Heading2"/>
        <w:rPr>
          <w:rtl/>
        </w:rPr>
      </w:pPr>
      <w:bookmarkStart w:id="9" w:name="_Toc432187270"/>
      <w:r>
        <w:rPr>
          <w:rFonts w:hint="eastAsia"/>
          <w:rtl/>
        </w:rPr>
        <w:t>راه‌ها</w:t>
      </w:r>
      <w:r>
        <w:rPr>
          <w:rFonts w:hint="cs"/>
          <w:rtl/>
        </w:rPr>
        <w:t>ی</w:t>
      </w:r>
      <w:r w:rsidR="00E05617">
        <w:rPr>
          <w:rFonts w:hint="cs"/>
          <w:rtl/>
        </w:rPr>
        <w:t xml:space="preserve"> تصحیح عمل</w:t>
      </w:r>
      <w:bookmarkEnd w:id="9"/>
    </w:p>
    <w:p w:rsidR="00E05617" w:rsidRDefault="00E05617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سخن اول که اگر عالم به حرمت است،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صح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یح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 به این دلیل است که صحت عمل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درگرو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یکی از این امور است که یا این عمل مصداق مأمور به به نحو مستقیم است یا از طریق ترتب و یا از طریق ملاک باید عمل تصحیح شود، ایشان قائل است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هیچ‌کدام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 سه طریق صحیح نیست.</w:t>
      </w:r>
    </w:p>
    <w:p w:rsidR="00E05617" w:rsidRDefault="00E05617" w:rsidP="00382B99">
      <w:pPr>
        <w:pStyle w:val="Heading2"/>
        <w:rPr>
          <w:rtl/>
        </w:rPr>
      </w:pPr>
      <w:bookmarkStart w:id="10" w:name="_Toc432187271"/>
      <w:r>
        <w:rPr>
          <w:rFonts w:hint="cs"/>
          <w:rtl/>
        </w:rPr>
        <w:t>علیت مسأله</w:t>
      </w:r>
      <w:bookmarkEnd w:id="10"/>
    </w:p>
    <w:p w:rsidR="00E05617" w:rsidRDefault="00E05617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عمده درباره طریق اول است که دانسته شود به چه دلیل صحت ندارد؟ چراکه در اینجا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ازلحاظ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عقلی مانعی از اجتماع وجود ندارد اما ایشان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بااین‌وجود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قائل به عدم صحت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شده‌اند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دل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استدلال ایشان مبتنی بر مقدماتی است که باید توضیح داد و بر اساس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بحث‌ها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جدی است؛</w:t>
      </w:r>
    </w:p>
    <w:p w:rsidR="00E05617" w:rsidRDefault="00E05617" w:rsidP="00382B99">
      <w:pPr>
        <w:pStyle w:val="Heading2"/>
        <w:rPr>
          <w:rtl/>
        </w:rPr>
      </w:pPr>
      <w:bookmarkStart w:id="11" w:name="_Toc432187272"/>
      <w:r>
        <w:rPr>
          <w:rFonts w:hint="cs"/>
          <w:rtl/>
        </w:rPr>
        <w:lastRenderedPageBreak/>
        <w:t>مقدمات استدلال</w:t>
      </w:r>
      <w:bookmarkEnd w:id="11"/>
    </w:p>
    <w:p w:rsidR="00E05617" w:rsidRDefault="00E05617" w:rsidP="00382B99">
      <w:pPr>
        <w:pStyle w:val="Heading2"/>
        <w:rPr>
          <w:rtl/>
        </w:rPr>
      </w:pPr>
      <w:bookmarkStart w:id="12" w:name="_Toc432187273"/>
      <w:r>
        <w:rPr>
          <w:rFonts w:hint="cs"/>
          <w:rtl/>
        </w:rPr>
        <w:t>مقدمه اول</w:t>
      </w:r>
      <w:bookmarkEnd w:id="12"/>
    </w:p>
    <w:p w:rsidR="00E05617" w:rsidRDefault="00E05617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اولین مقدمه جایگاه قدرت در قبال تکلیف است.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چه دلیلی بر اشتراط آن وجود دارد؟ در اینجا سه دیدگاه عمده وجود دارد که در بحث ترتب ذکر شد.</w:t>
      </w:r>
    </w:p>
    <w:p w:rsidR="00E05617" w:rsidRDefault="007E5B41" w:rsidP="00382B99">
      <w:pPr>
        <w:pStyle w:val="Heading2"/>
        <w:rPr>
          <w:rtl/>
        </w:rPr>
      </w:pPr>
      <w:bookmarkStart w:id="13" w:name="_Toc432187274"/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دگاه‌ها</w:t>
      </w:r>
      <w:r w:rsidR="00E05617">
        <w:rPr>
          <w:rFonts w:hint="cs"/>
          <w:rtl/>
        </w:rPr>
        <w:t xml:space="preserve"> بر اشتراط قدرت</w:t>
      </w:r>
      <w:bookmarkEnd w:id="13"/>
    </w:p>
    <w:p w:rsidR="00E05617" w:rsidRDefault="00E05617" w:rsidP="00382B99">
      <w:pPr>
        <w:pStyle w:val="Heading2"/>
        <w:rPr>
          <w:rtl/>
        </w:rPr>
      </w:pPr>
      <w:bookmarkStart w:id="14" w:name="_Toc432187275"/>
      <w:r>
        <w:rPr>
          <w:rFonts w:hint="cs"/>
          <w:rtl/>
        </w:rPr>
        <w:t>دیدگاه اول</w:t>
      </w:r>
      <w:bookmarkEnd w:id="14"/>
    </w:p>
    <w:p w:rsidR="00E05617" w:rsidRDefault="00E05617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یک دیدگاه این است که قدرت شرط فعلیت است و آن را از خود بیان لفظی و خطاب استفاده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5E2701">
        <w:rPr>
          <w:rFonts w:ascii="IRBadr" w:hAnsi="IRBadr" w:cs="IRBadr" w:hint="cs"/>
          <w:sz w:val="28"/>
          <w:szCs w:val="28"/>
          <w:rtl/>
          <w:lang w:bidi="fa-IR"/>
        </w:rPr>
        <w:t xml:space="preserve"> دیدگاه امثال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 w:rsidR="005E2701">
        <w:rPr>
          <w:rFonts w:ascii="IRBadr" w:hAnsi="IRBadr" w:cs="IRBadr" w:hint="cs"/>
          <w:sz w:val="28"/>
          <w:szCs w:val="28"/>
          <w:rtl/>
          <w:lang w:bidi="fa-IR"/>
        </w:rPr>
        <w:t xml:space="preserve"> نائینی است.</w:t>
      </w:r>
    </w:p>
    <w:p w:rsidR="00E05617" w:rsidRDefault="00E05617" w:rsidP="00382B99">
      <w:pPr>
        <w:pStyle w:val="Heading2"/>
        <w:rPr>
          <w:rtl/>
        </w:rPr>
      </w:pPr>
      <w:bookmarkStart w:id="15" w:name="_Toc432187276"/>
      <w:r>
        <w:rPr>
          <w:rFonts w:hint="cs"/>
          <w:rtl/>
        </w:rPr>
        <w:t>دیدگاه دوم</w:t>
      </w:r>
      <w:bookmarkEnd w:id="15"/>
    </w:p>
    <w:p w:rsidR="00E05617" w:rsidRDefault="00E05617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دیدگاه دوم نیز بر همین حالت استوار است،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قائل‌اند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شرطیت از عقل</w:t>
      </w:r>
      <w:r w:rsidR="005E2701">
        <w:rPr>
          <w:rFonts w:ascii="IRBadr" w:hAnsi="IRBadr" w:cs="IRBadr" w:hint="cs"/>
          <w:sz w:val="28"/>
          <w:szCs w:val="28"/>
          <w:rtl/>
          <w:lang w:bidi="fa-IR"/>
        </w:rPr>
        <w:t xml:space="preserve"> به نحو منفصل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استفاده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5E2701">
        <w:rPr>
          <w:rFonts w:ascii="IRBadr" w:hAnsi="IRBadr" w:cs="IRBadr" w:hint="cs"/>
          <w:sz w:val="28"/>
          <w:szCs w:val="28"/>
          <w:rtl/>
          <w:lang w:bidi="fa-IR"/>
        </w:rPr>
        <w:t xml:space="preserve"> دیدگاه مشهور است.</w:t>
      </w:r>
    </w:p>
    <w:p w:rsidR="00E05617" w:rsidRDefault="00E05617" w:rsidP="00382B99">
      <w:pPr>
        <w:pStyle w:val="Heading2"/>
        <w:rPr>
          <w:rtl/>
        </w:rPr>
      </w:pPr>
      <w:bookmarkStart w:id="16" w:name="_Toc432187277"/>
      <w:r>
        <w:rPr>
          <w:rFonts w:hint="cs"/>
          <w:rtl/>
        </w:rPr>
        <w:t>دیدگاه سوم</w:t>
      </w:r>
      <w:bookmarkEnd w:id="16"/>
    </w:p>
    <w:p w:rsidR="00E05617" w:rsidRDefault="00E05617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دیدگاه متفاوت از دو دیدگاه سابق،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قائل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</w:t>
      </w:r>
      <w:r w:rsidR="005E2701">
        <w:rPr>
          <w:rFonts w:ascii="IRBadr" w:hAnsi="IRBadr" w:cs="IRBadr" w:hint="cs"/>
          <w:sz w:val="28"/>
          <w:szCs w:val="28"/>
          <w:rtl/>
          <w:lang w:bidi="fa-IR"/>
        </w:rPr>
        <w:t xml:space="preserve">عدم شرطیت قدرت است بلکه آن را شرط تنجیز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 w:rsidR="005E2701">
        <w:rPr>
          <w:rFonts w:ascii="IRBadr" w:hAnsi="IRBadr" w:cs="IRBadr" w:hint="cs"/>
          <w:sz w:val="28"/>
          <w:szCs w:val="28"/>
          <w:rtl/>
          <w:lang w:bidi="fa-IR"/>
        </w:rPr>
        <w:t xml:space="preserve"> نه فعلیت حکم چراکه حکم مطلق است و مانند علم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5E2701">
        <w:rPr>
          <w:rFonts w:ascii="IRBadr" w:hAnsi="IRBadr" w:cs="IRBadr" w:hint="cs"/>
          <w:sz w:val="28"/>
          <w:szCs w:val="28"/>
          <w:rtl/>
          <w:lang w:bidi="fa-IR"/>
        </w:rPr>
        <w:t xml:space="preserve"> شرط فعلیت باشد چراکه منجر به دور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 w:rsidR="005E2701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امثال</w:t>
      </w:r>
      <w:r w:rsidR="005E270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 w:rsidR="005E2701">
        <w:rPr>
          <w:rFonts w:ascii="IRBadr" w:hAnsi="IRBadr" w:cs="IRBadr" w:hint="cs"/>
          <w:sz w:val="28"/>
          <w:szCs w:val="28"/>
          <w:rtl/>
          <w:lang w:bidi="fa-IR"/>
        </w:rPr>
        <w:t xml:space="preserve"> خویی و امام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این‌چنین</w:t>
      </w:r>
      <w:r w:rsidR="005E2701">
        <w:rPr>
          <w:rFonts w:ascii="IRBadr" w:hAnsi="IRBadr" w:cs="IRBadr" w:hint="cs"/>
          <w:sz w:val="28"/>
          <w:szCs w:val="28"/>
          <w:rtl/>
          <w:lang w:bidi="fa-IR"/>
        </w:rPr>
        <w:t xml:space="preserve"> دیدگاهی دارند.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5E2701">
        <w:rPr>
          <w:rFonts w:ascii="IRBadr" w:hAnsi="IRBadr" w:cs="IRBadr" w:hint="cs"/>
          <w:sz w:val="28"/>
          <w:szCs w:val="28"/>
          <w:rtl/>
          <w:lang w:bidi="fa-IR"/>
        </w:rPr>
        <w:t xml:space="preserve"> نه با استدلال دوری در علم،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="005E2701">
        <w:rPr>
          <w:rFonts w:ascii="IRBadr" w:hAnsi="IRBadr" w:cs="IRBadr" w:hint="cs"/>
          <w:sz w:val="28"/>
          <w:szCs w:val="28"/>
          <w:rtl/>
          <w:lang w:bidi="fa-IR"/>
        </w:rPr>
        <w:t xml:space="preserve"> با استدلالی دیگر این امر را به اثبات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ی‌رسانند</w:t>
      </w:r>
      <w:r w:rsidR="005E2701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5E2701" w:rsidRDefault="005E2701" w:rsidP="00382B99">
      <w:pPr>
        <w:pStyle w:val="Heading2"/>
        <w:rPr>
          <w:rtl/>
        </w:rPr>
      </w:pPr>
      <w:bookmarkStart w:id="17" w:name="_Toc432187278"/>
      <w:r>
        <w:rPr>
          <w:rFonts w:hint="cs"/>
          <w:rtl/>
        </w:rPr>
        <w:t>تشریح دیدگاه مرحوم نائینی در این مقام</w:t>
      </w:r>
      <w:bookmarkEnd w:id="17"/>
    </w:p>
    <w:p w:rsidR="005E2701" w:rsidRDefault="005E2701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مرحوم نائینی مقدمه اولشان در ین استدلال این است که قدرت شرطی است که از نفس خطاب استفاده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خطاب در اینجا بعث و زجر است و این نوع از خطاب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امکان بعث در آن مقام وجود داشته باشد،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خود لفظ مشتمل بر لزوم امکان است چراکه بعث در اینجا حقیقی بوده و بعث و انبعاث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ازجمله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متضایفین هستند.</w:t>
      </w:r>
    </w:p>
    <w:p w:rsidR="005E2701" w:rsidRDefault="005E2701" w:rsidP="00382B99">
      <w:pPr>
        <w:pStyle w:val="Heading2"/>
        <w:rPr>
          <w:rtl/>
        </w:rPr>
      </w:pPr>
      <w:bookmarkStart w:id="18" w:name="_Toc432187279"/>
      <w:r>
        <w:rPr>
          <w:rFonts w:hint="cs"/>
          <w:rtl/>
        </w:rPr>
        <w:lastRenderedPageBreak/>
        <w:t>مقدمه دوم</w:t>
      </w:r>
      <w:bookmarkEnd w:id="18"/>
    </w:p>
    <w:p w:rsidR="005E2701" w:rsidRDefault="005E2701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مقدمه دوم این است که این قدرت مستفاد از مدلول التزامی اعم از قدرت شرعی و عقلی است.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توانایی باید عقلی و شرعی باشد،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غیرمقدور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شرعی مانند عقلی از خطاب خارج است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حالت در عقلی وضوح دارد.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همین سبب گفته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ممنوع شرعی همانند عقلی از خطاب دلیل خارج است.</w:t>
      </w:r>
    </w:p>
    <w:p w:rsidR="005E2701" w:rsidRDefault="005E2701" w:rsidP="00382B99">
      <w:pPr>
        <w:pStyle w:val="Heading2"/>
        <w:rPr>
          <w:rtl/>
        </w:rPr>
      </w:pPr>
      <w:bookmarkStart w:id="19" w:name="_Toc432187280"/>
      <w:r>
        <w:rPr>
          <w:rFonts w:hint="cs"/>
          <w:rtl/>
        </w:rPr>
        <w:t>مقدمه سوم</w:t>
      </w:r>
      <w:bookmarkEnd w:id="19"/>
    </w:p>
    <w:p w:rsidR="005E2701" w:rsidRDefault="005E2701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مقدمه سوم که بسیار مهم است،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د عدم قدرت شرعی بر امری لازم نیست که همان شیء متعلق نهی باشد،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ملازمان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در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آنجا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باشد،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وجود دارد.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اعمیتی وجود دارد که همانند همین بحث لا تغصب تعلق به صلاة نگرفته است ولی این تلازم مورد شمول خطاب خواهد شد.</w:t>
      </w:r>
    </w:p>
    <w:p w:rsidR="005E2701" w:rsidRDefault="007E5B41" w:rsidP="00382B99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205114" w:rsidRDefault="00205114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صورت پذیرش این سه مقدمه نتیجه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خواهد شد که خطاب صل، مصادیق مقدور شرعی را دربر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مقدوریت ملازم شرعی آن را نیز دربر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وقتی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غیرمقدور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 خطاب نیز آن را در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برنمی‌گیرد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حت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مرحوم نائینی که مجوز عقلی اجتماع است در اینجا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قائل به صحت شود.</w:t>
      </w:r>
    </w:p>
    <w:p w:rsidR="00205114" w:rsidRDefault="00205114" w:rsidP="00382B99">
      <w:pPr>
        <w:pStyle w:val="Heading2"/>
        <w:rPr>
          <w:rtl/>
        </w:rPr>
      </w:pPr>
      <w:bookmarkStart w:id="20" w:name="_Toc432187282"/>
      <w:r>
        <w:rPr>
          <w:rFonts w:hint="cs"/>
          <w:rtl/>
        </w:rPr>
        <w:t xml:space="preserve">مناقشات </w:t>
      </w:r>
      <w:r w:rsidR="007E5B41">
        <w:rPr>
          <w:rFonts w:hint="cs"/>
          <w:rtl/>
        </w:rPr>
        <w:t>آقای</w:t>
      </w:r>
      <w:r>
        <w:rPr>
          <w:rFonts w:hint="cs"/>
          <w:rtl/>
        </w:rPr>
        <w:t xml:space="preserve"> خویی در استدلال فوق</w:t>
      </w:r>
      <w:bookmarkEnd w:id="20"/>
    </w:p>
    <w:p w:rsidR="00205114" w:rsidRDefault="00205114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مرحوم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خویی در محاضرات چند اشکال به این استدلال وارد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</w:p>
    <w:p w:rsidR="00205114" w:rsidRDefault="00205114" w:rsidP="00382B99">
      <w:pPr>
        <w:pStyle w:val="Heading2"/>
        <w:rPr>
          <w:rtl/>
        </w:rPr>
      </w:pPr>
      <w:bookmarkStart w:id="21" w:name="_Toc432187283"/>
      <w:r>
        <w:rPr>
          <w:rFonts w:hint="cs"/>
          <w:rtl/>
        </w:rPr>
        <w:t>اشکال اول</w:t>
      </w:r>
      <w:bookmarkEnd w:id="21"/>
    </w:p>
    <w:p w:rsidR="00205114" w:rsidRDefault="00205114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اشکال اول اشکالی مبنایی است که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قدرت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شرط فعلیت حکم نیست و از خود دلیل استفاده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این کلام مستفاد از مبنای ایشان در حقیقت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با همه متفاوت است و ایشان آن را از یکی از بزرگان اخذ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یک قول در این باب که مشهور است وضع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بعث و زجر است که ما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آن را پذیرفتیم.</w:t>
      </w:r>
    </w:p>
    <w:p w:rsidR="00205114" w:rsidRDefault="00205114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اما مرحوم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خویی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مدلول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نیست بلکه برای اعتبار شیء یا حرمان بر ذمه مکلف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وضع‌شده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بعث و زجری وجود ندارد.</w:t>
      </w:r>
    </w:p>
    <w:p w:rsidR="00205114" w:rsidRDefault="00205114" w:rsidP="00382B99">
      <w:pPr>
        <w:pStyle w:val="Heading2"/>
        <w:rPr>
          <w:rtl/>
        </w:rPr>
      </w:pPr>
      <w:bookmarkStart w:id="22" w:name="_Toc432187284"/>
      <w:r>
        <w:rPr>
          <w:rFonts w:hint="cs"/>
          <w:rtl/>
        </w:rPr>
        <w:t>اتخاذ مبنا</w:t>
      </w:r>
      <w:bookmarkEnd w:id="22"/>
    </w:p>
    <w:p w:rsidR="00205114" w:rsidRDefault="00205114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استدلال از مبنا دچار اشکال است و در جای خود بحث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نموده‌ا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قرار دادن بر ذمه مکلف در بیان ایشان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قدرت و تیسر عمل را افاده دهد.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بیان ایشان مبناءً و بناءً دچار خدشه است.</w:t>
      </w:r>
    </w:p>
    <w:p w:rsidR="00205114" w:rsidRDefault="00205114" w:rsidP="00382B99">
      <w:pPr>
        <w:pStyle w:val="Heading2"/>
        <w:rPr>
          <w:rtl/>
        </w:rPr>
      </w:pPr>
      <w:bookmarkStart w:id="23" w:name="_Toc432187285"/>
      <w:r>
        <w:rPr>
          <w:rFonts w:hint="cs"/>
          <w:rtl/>
        </w:rPr>
        <w:t>اشکال دوم</w:t>
      </w:r>
      <w:bookmarkEnd w:id="23"/>
    </w:p>
    <w:p w:rsidR="00205114" w:rsidRDefault="00205114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اشکال دوم را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ی‌گذرم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خودتان ببینید اما اشکال سوم این است که این ملازمت برقرار نیست چراکه ممنوع شرعی یا خود آ</w:t>
      </w:r>
      <w:r w:rsidR="00382B99">
        <w:rPr>
          <w:rFonts w:ascii="IRBadr" w:hAnsi="IRBadr" w:cs="IRBadr" w:hint="cs"/>
          <w:sz w:val="28"/>
          <w:szCs w:val="28"/>
          <w:rtl/>
          <w:lang w:bidi="fa-IR"/>
        </w:rPr>
        <w:t>ن و مقدمه وجودی آ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 را دربر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چراکه 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هیچ‌گاه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منع از شیء ای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ملازم آن را دربر گیرد.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حالتی که تلازم اتفاقی است حکم سرایت پیدا 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7E5B41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7E5B41">
        <w:rPr>
          <w:rFonts w:ascii="IRBadr" w:hAnsi="IRBadr" w:cs="IRBadr"/>
          <w:sz w:val="28"/>
          <w:szCs w:val="28"/>
          <w:rtl/>
          <w:lang w:bidi="fa-IR"/>
        </w:rPr>
        <w:t xml:space="preserve"> 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حالت تلازم دائمی نیز مشخص نیست.</w:t>
      </w:r>
    </w:p>
    <w:p w:rsidR="005E2701" w:rsidRDefault="005E2701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E05617" w:rsidRPr="00456192" w:rsidRDefault="00E05617" w:rsidP="00382B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E05617" w:rsidRPr="00456192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85" w:rsidRDefault="00661985" w:rsidP="000D5800">
      <w:pPr>
        <w:spacing w:after="0" w:line="240" w:lineRule="auto"/>
      </w:pPr>
      <w:r>
        <w:separator/>
      </w:r>
    </w:p>
  </w:endnote>
  <w:endnote w:type="continuationSeparator" w:id="0">
    <w:p w:rsidR="00661985" w:rsidRDefault="00661985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41" w:rsidRDefault="007E5B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41" w:rsidRDefault="007E5B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41" w:rsidRDefault="007E5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85" w:rsidRDefault="00661985" w:rsidP="000D5800">
      <w:pPr>
        <w:spacing w:after="0" w:line="240" w:lineRule="auto"/>
      </w:pPr>
      <w:r>
        <w:separator/>
      </w:r>
    </w:p>
  </w:footnote>
  <w:footnote w:type="continuationSeparator" w:id="0">
    <w:p w:rsidR="00661985" w:rsidRDefault="00661985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41" w:rsidRDefault="007E5B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456192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996EE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4" w:name="OLE_LINK1"/>
    <w:bookmarkStart w:id="25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4"/>
    <w:bookmarkEnd w:id="25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9750A">
      <w:rPr>
        <w:rFonts w:ascii="IranNastaliq" w:hAnsi="IranNastaliq" w:cs="IranNastaliq" w:hint="cs"/>
        <w:sz w:val="40"/>
        <w:szCs w:val="40"/>
        <w:rtl/>
        <w:lang w:bidi="fa-IR"/>
      </w:rPr>
      <w:t>45</w:t>
    </w:r>
    <w:r w:rsidR="00456192">
      <w:rPr>
        <w:rFonts w:ascii="IranNastaliq" w:hAnsi="IranNastaliq" w:cs="IranNastaliq" w:hint="cs"/>
        <w:sz w:val="40"/>
        <w:szCs w:val="40"/>
        <w:rtl/>
        <w:lang w:bidi="fa-IR"/>
      </w:rPr>
      <w:t>4</w:t>
    </w:r>
    <w:r w:rsidR="0039750A">
      <w:rPr>
        <w:rFonts w:ascii="IranNastaliq" w:hAnsi="IranNastaliq" w:cs="IranNastaliq" w:hint="cs"/>
        <w:sz w:val="40"/>
        <w:szCs w:val="40"/>
        <w:rtl/>
        <w:lang w:bidi="fa-IR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41" w:rsidRDefault="007E5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05114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82B99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3705A"/>
    <w:rsid w:val="0044591E"/>
    <w:rsid w:val="00456192"/>
    <w:rsid w:val="004651D2"/>
    <w:rsid w:val="00465D26"/>
    <w:rsid w:val="004679F8"/>
    <w:rsid w:val="004B337F"/>
    <w:rsid w:val="004F3596"/>
    <w:rsid w:val="00501CC1"/>
    <w:rsid w:val="00572680"/>
    <w:rsid w:val="00572E2D"/>
    <w:rsid w:val="00592103"/>
    <w:rsid w:val="005A545E"/>
    <w:rsid w:val="005A5862"/>
    <w:rsid w:val="005B0852"/>
    <w:rsid w:val="005C06AE"/>
    <w:rsid w:val="005E2701"/>
    <w:rsid w:val="00610C18"/>
    <w:rsid w:val="0061376C"/>
    <w:rsid w:val="00636EFA"/>
    <w:rsid w:val="00661985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5B41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0ACB"/>
    <w:rsid w:val="00A9616A"/>
    <w:rsid w:val="00A96F68"/>
    <w:rsid w:val="00AA2342"/>
    <w:rsid w:val="00AD0304"/>
    <w:rsid w:val="00AD27BE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5617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8228-B2E9-4D1B-A977-99D15BC8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151</TotalTime>
  <Pages>6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25</cp:revision>
  <dcterms:created xsi:type="dcterms:W3CDTF">2014-11-18T06:47:00Z</dcterms:created>
  <dcterms:modified xsi:type="dcterms:W3CDTF">2015-10-10T04:55:00Z</dcterms:modified>
</cp:coreProperties>
</file>