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EF" w:rsidRDefault="00144C93" w:rsidP="007C21EF">
      <w:pPr>
        <w:bidi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9F622B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7C21EF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7C21E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7C21EF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7C21EF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7C21EF">
        <w:rPr>
          <w:rFonts w:ascii="IRBadr" w:hAnsi="IRBadr" w:cs="IRBadr" w:hint="cs"/>
          <w:sz w:val="28"/>
          <w:szCs w:val="28"/>
          <w:lang w:bidi="fa-IR"/>
        </w:rPr>
        <w:instrText>o "1-5" \h \z \u</w:instrText>
      </w:r>
      <w:r w:rsidR="007C21E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7C21EF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7C21EF" w:rsidRDefault="007C21EF" w:rsidP="007C21E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47" w:history="1">
        <w:r w:rsidRPr="007973B2">
          <w:rPr>
            <w:rStyle w:val="Hyperlink"/>
            <w:rFonts w:hint="eastAsia"/>
            <w:noProof/>
            <w:rtl/>
          </w:rPr>
          <w:t>ات</w:t>
        </w:r>
        <w:r w:rsidRPr="007973B2">
          <w:rPr>
            <w:rStyle w:val="Hyperlink"/>
            <w:rFonts w:hint="cs"/>
            <w:noProof/>
            <w:rtl/>
          </w:rPr>
          <w:t>ی</w:t>
        </w:r>
        <w:r w:rsidRPr="007973B2">
          <w:rPr>
            <w:rStyle w:val="Hyperlink"/>
            <w:rFonts w:hint="eastAsia"/>
            <w:noProof/>
            <w:rtl/>
          </w:rPr>
          <w:t>ان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به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مجمع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48" w:history="1">
        <w:r w:rsidRPr="007973B2">
          <w:rPr>
            <w:rStyle w:val="Hyperlink"/>
            <w:rFonts w:hint="eastAsia"/>
            <w:noProof/>
            <w:rtl/>
          </w:rPr>
          <w:t>مرور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بحث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49" w:history="1">
        <w:r w:rsidRPr="007973B2">
          <w:rPr>
            <w:rStyle w:val="Hyperlink"/>
            <w:rFonts w:hint="eastAsia"/>
            <w:noProof/>
            <w:rtl/>
          </w:rPr>
          <w:t>ب</w:t>
        </w:r>
        <w:r w:rsidRPr="007973B2">
          <w:rPr>
            <w:rStyle w:val="Hyperlink"/>
            <w:rFonts w:hint="cs"/>
            <w:noProof/>
            <w:rtl/>
          </w:rPr>
          <w:t>ی</w:t>
        </w:r>
        <w:r w:rsidRPr="007973B2">
          <w:rPr>
            <w:rStyle w:val="Hyperlink"/>
            <w:rFonts w:hint="eastAsia"/>
            <w:noProof/>
            <w:rtl/>
          </w:rPr>
          <w:t>ان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مرحوم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نائ</w:t>
        </w:r>
        <w:r w:rsidRPr="007973B2">
          <w:rPr>
            <w:rStyle w:val="Hyperlink"/>
            <w:rFonts w:hint="cs"/>
            <w:noProof/>
            <w:rtl/>
          </w:rPr>
          <w:t>ی</w:t>
        </w:r>
        <w:r w:rsidRPr="007973B2">
          <w:rPr>
            <w:rStyle w:val="Hyperlink"/>
            <w:rFonts w:hint="eastAsia"/>
            <w:noProof/>
            <w:rtl/>
          </w:rPr>
          <w:t>ن</w:t>
        </w:r>
        <w:r w:rsidRPr="007973B2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0" w:history="1">
        <w:r w:rsidRPr="007973B2">
          <w:rPr>
            <w:rStyle w:val="Hyperlink"/>
            <w:rFonts w:hint="eastAsia"/>
            <w:noProof/>
            <w:rtl/>
          </w:rPr>
          <w:t>معن</w:t>
        </w:r>
        <w:r w:rsidRPr="007973B2">
          <w:rPr>
            <w:rStyle w:val="Hyperlink"/>
            <w:rFonts w:hint="cs"/>
            <w:noProof/>
            <w:rtl/>
          </w:rPr>
          <w:t>ی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ترتب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1" w:history="1">
        <w:r w:rsidRPr="007973B2">
          <w:rPr>
            <w:rStyle w:val="Hyperlink"/>
            <w:rFonts w:hint="eastAsia"/>
            <w:noProof/>
            <w:rtl/>
          </w:rPr>
          <w:t>حالت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2" w:history="1">
        <w:r w:rsidRPr="007973B2">
          <w:rPr>
            <w:rStyle w:val="Hyperlink"/>
            <w:rFonts w:hint="eastAsia"/>
            <w:noProof/>
            <w:rtl/>
          </w:rPr>
          <w:t>حالت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3" w:history="1">
        <w:r w:rsidR="005630AF"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4" w:history="1">
        <w:r w:rsidRPr="007973B2">
          <w:rPr>
            <w:rStyle w:val="Hyperlink"/>
            <w:rFonts w:hint="eastAsia"/>
            <w:noProof/>
            <w:rtl/>
          </w:rPr>
          <w:t>اتخاذ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5" w:history="1">
        <w:r w:rsidRPr="007973B2">
          <w:rPr>
            <w:rStyle w:val="Hyperlink"/>
            <w:rFonts w:hint="eastAsia"/>
            <w:noProof/>
            <w:rtl/>
          </w:rPr>
          <w:t>اشکال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6" w:history="1">
        <w:r w:rsidRPr="007973B2">
          <w:rPr>
            <w:rStyle w:val="Hyperlink"/>
            <w:rFonts w:hint="eastAsia"/>
            <w:noProof/>
            <w:rtl/>
          </w:rPr>
          <w:t>خدشه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در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استدلال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7" w:history="1">
        <w:r w:rsidRPr="007973B2">
          <w:rPr>
            <w:rStyle w:val="Hyperlink"/>
            <w:rFonts w:hint="eastAsia"/>
            <w:noProof/>
            <w:rtl/>
          </w:rPr>
          <w:t>اشکال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8" w:history="1">
        <w:r w:rsidR="005630AF"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59" w:history="1">
        <w:r w:rsidRPr="007973B2">
          <w:rPr>
            <w:rStyle w:val="Hyperlink"/>
            <w:rFonts w:hint="eastAsia"/>
            <w:noProof/>
            <w:rtl/>
          </w:rPr>
          <w:t>اشکال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3660" w:history="1">
        <w:r w:rsidRPr="007973B2">
          <w:rPr>
            <w:rStyle w:val="Hyperlink"/>
            <w:rFonts w:hint="eastAsia"/>
            <w:noProof/>
            <w:rtl/>
          </w:rPr>
          <w:t>اتخاذ</w:t>
        </w:r>
        <w:r w:rsidRPr="007973B2">
          <w:rPr>
            <w:rStyle w:val="Hyperlink"/>
            <w:noProof/>
            <w:rtl/>
          </w:rPr>
          <w:t xml:space="preserve"> </w:t>
        </w:r>
        <w:r w:rsidRPr="007973B2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_Toc431973660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21EF" w:rsidRDefault="007C21EF" w:rsidP="007C21E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C21EF" w:rsidRDefault="007C21EF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D5559F" w:rsidRDefault="00D5559F" w:rsidP="007C21EF">
      <w:pPr>
        <w:pStyle w:val="Heading1"/>
        <w:rPr>
          <w:rFonts w:hint="cs"/>
          <w:rtl/>
        </w:rPr>
      </w:pPr>
      <w:bookmarkStart w:id="0" w:name="_Toc431973647"/>
      <w:r>
        <w:rPr>
          <w:rFonts w:hint="cs"/>
          <w:rtl/>
        </w:rPr>
        <w:lastRenderedPageBreak/>
        <w:t>اتیان به مجمع</w:t>
      </w:r>
      <w:bookmarkEnd w:id="0"/>
    </w:p>
    <w:p w:rsidR="00D5559F" w:rsidRDefault="00D5559F" w:rsidP="007C21EF">
      <w:pPr>
        <w:pStyle w:val="Heading1"/>
        <w:rPr>
          <w:rFonts w:hint="cs"/>
          <w:rtl/>
        </w:rPr>
      </w:pPr>
      <w:bookmarkStart w:id="1" w:name="_Toc431973648"/>
      <w:r>
        <w:rPr>
          <w:rFonts w:hint="cs"/>
          <w:rtl/>
        </w:rPr>
        <w:t>مرور بحث گذشته</w:t>
      </w:r>
      <w:bookmarkEnd w:id="1"/>
    </w:p>
    <w:p w:rsidR="007C21EF" w:rsidRDefault="00D5559F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بیان شد که اگر کسی قائل به جواز اجتماع بود بر اساس بیان مشهور و صاحب کفایه،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اتیان به مجمع را صحیح بداند ولو در مورد عبادات باشد.</w:t>
      </w:r>
    </w:p>
    <w:p w:rsidR="009F622B" w:rsidRDefault="00D5559F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ثمره صحت اتیان به مجمع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 xml:space="preserve">بنا </w:t>
      </w:r>
      <w:r w:rsidR="005630AF">
        <w:rPr>
          <w:rFonts w:ascii="IRBadr" w:hAnsi="IRBadr" w:cs="IRBadr"/>
          <w:sz w:val="28"/>
          <w:szCs w:val="28"/>
          <w:rtl/>
          <w:lang w:bidi="fa-IR"/>
        </w:rPr>
        <w:t>برفرض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جواز </w:t>
      </w:r>
      <w:r w:rsidR="005630AF">
        <w:rPr>
          <w:rFonts w:ascii="IRBadr" w:hAnsi="IRBadr" w:cs="IRBadr"/>
          <w:sz w:val="28"/>
          <w:szCs w:val="28"/>
          <w:rtl/>
          <w:lang w:bidi="fa-IR"/>
        </w:rPr>
        <w:t>عل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ی‌رغم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وضوح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مناقشه گرفته است که مناقشه سید یزدی و مرحوم نائینی ذکر شد.</w:t>
      </w:r>
    </w:p>
    <w:p w:rsidR="00D5559F" w:rsidRDefault="00D5559F" w:rsidP="007C21EF">
      <w:pPr>
        <w:pStyle w:val="Heading1"/>
        <w:rPr>
          <w:rFonts w:hint="cs"/>
          <w:rtl/>
        </w:rPr>
      </w:pPr>
      <w:bookmarkStart w:id="2" w:name="_Toc431973649"/>
      <w:r>
        <w:rPr>
          <w:rFonts w:hint="cs"/>
          <w:rtl/>
        </w:rPr>
        <w:t>بیان مرحوم نائینی</w:t>
      </w:r>
      <w:bookmarkEnd w:id="2"/>
    </w:p>
    <w:p w:rsidR="00D5559F" w:rsidRDefault="00D5559F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نائینی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مطلقاً بر عدم ترتب ثمره قول ندارمی بلکه در فرض علم قائلین عبادت صحیح نیست.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تصحیح عبادت در مجمع </w:t>
      </w:r>
      <w:r w:rsidR="005630AF">
        <w:rPr>
          <w:rFonts w:ascii="IRBadr" w:hAnsi="IRBadr" w:cs="IRBadr"/>
          <w:sz w:val="28"/>
          <w:szCs w:val="28"/>
          <w:rtl/>
          <w:lang w:bidi="fa-IR"/>
        </w:rPr>
        <w:t>سه‌راه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دارد؛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جاری کردن نفس امر است که جاری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5559F" w:rsidRDefault="00D5559F" w:rsidP="007C21E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چرا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از ترتب استفاده کرد؟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سخن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در مقام دوم ناظر به ترتب است که ایشان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ترتب نیز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جاری نمود.</w:t>
      </w:r>
    </w:p>
    <w:p w:rsidR="00D5559F" w:rsidRDefault="00D5559F" w:rsidP="007C21EF">
      <w:pPr>
        <w:pStyle w:val="Heading2"/>
        <w:rPr>
          <w:rFonts w:hint="cs"/>
          <w:rtl/>
        </w:rPr>
      </w:pPr>
      <w:bookmarkStart w:id="3" w:name="_Toc431973650"/>
      <w:r>
        <w:rPr>
          <w:rFonts w:hint="cs"/>
          <w:rtl/>
        </w:rPr>
        <w:t>معنی ترتب</w:t>
      </w:r>
      <w:bookmarkEnd w:id="3"/>
    </w:p>
    <w:p w:rsidR="00F70CBF" w:rsidRDefault="005630AF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ازآنجا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>یی‌که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قائل به جوازیم امر وجود دارد اما مانعی در اینجا وجود دارد،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ترتب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قائل است که امر در اینجا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اثرگذار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 xml:space="preserve"> باشد که اگر قرار بر عصیان نهی است،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آن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 xml:space="preserve"> امر را اتیان کن.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D5559F" w:rsidRDefault="00144C93" w:rsidP="00F70CB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bookmarkStart w:id="4" w:name="_GoBack"/>
      <w:bookmarkEnd w:id="4"/>
      <w:r>
        <w:rPr>
          <w:rFonts w:ascii="IRBadr" w:hAnsi="IRBadr" w:cs="IRBadr"/>
          <w:sz w:val="28"/>
          <w:szCs w:val="28"/>
          <w:rtl/>
          <w:lang w:bidi="fa-IR"/>
        </w:rPr>
        <w:t>ولو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 xml:space="preserve"> اینکه خود ایشان ترتب را قبول دارد ولی در اینجا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 xml:space="preserve"> را جایز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 xml:space="preserve"> و وجه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D5559F"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مصداق عصیان نهی در اینجا دو مصداق دارد؛</w:t>
      </w:r>
    </w:p>
    <w:p w:rsidR="00D5559F" w:rsidRDefault="00D5559F" w:rsidP="007C21EF">
      <w:pPr>
        <w:pStyle w:val="Heading2"/>
        <w:rPr>
          <w:rFonts w:hint="cs"/>
          <w:rtl/>
        </w:rPr>
      </w:pPr>
      <w:bookmarkStart w:id="5" w:name="_Toc431973651"/>
      <w:r>
        <w:rPr>
          <w:rFonts w:hint="cs"/>
          <w:rtl/>
        </w:rPr>
        <w:lastRenderedPageBreak/>
        <w:t>حالت اول</w:t>
      </w:r>
      <w:bookmarkEnd w:id="5"/>
    </w:p>
    <w:p w:rsidR="00D5559F" w:rsidRDefault="00D5559F" w:rsidP="007C21E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حالت اول در اینجا غیر طرف مقابل از افعال دیگر است و مصداق دیگر خود طرف مقابل مثلاً نماز است.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هرکدام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دو آورده شود،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اشکال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دارد.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اول تناقض واضحی شکل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در اینجا شیء مشروط بر ضد خود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5559F" w:rsidRDefault="00D5559F" w:rsidP="007C21EF">
      <w:pPr>
        <w:pStyle w:val="Heading2"/>
        <w:rPr>
          <w:rFonts w:hint="cs"/>
          <w:rtl/>
        </w:rPr>
      </w:pPr>
      <w:bookmarkStart w:id="6" w:name="_Toc431973652"/>
      <w:r>
        <w:rPr>
          <w:rFonts w:hint="cs"/>
          <w:rtl/>
        </w:rPr>
        <w:t>حالت دوم</w:t>
      </w:r>
      <w:bookmarkEnd w:id="6"/>
    </w:p>
    <w:p w:rsidR="00D5559F" w:rsidRDefault="00D5559F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حالت دوم نیز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شیء به خود مشروط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5559F" w:rsidRDefault="005630AF" w:rsidP="007C21EF">
      <w:pPr>
        <w:pStyle w:val="Heading2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D5559F" w:rsidRDefault="00D5559F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ایشان قائل به ترتب در اینجا نیستند چراکه حقیقت ترتب جمله شرطیه ایست که دارای دو مصداق است و هر دو اشکال داشتند.</w:t>
      </w:r>
    </w:p>
    <w:p w:rsidR="00D56640" w:rsidRDefault="00D56640" w:rsidP="007C21EF">
      <w:pPr>
        <w:pStyle w:val="Heading2"/>
        <w:rPr>
          <w:rFonts w:hint="cs"/>
          <w:rtl/>
        </w:rPr>
      </w:pPr>
      <w:bookmarkStart w:id="7" w:name="_Toc431973654"/>
      <w:r>
        <w:rPr>
          <w:rFonts w:hint="cs"/>
          <w:rtl/>
        </w:rPr>
        <w:t>اتخاذ مبنا</w:t>
      </w:r>
      <w:bookmarkEnd w:id="7"/>
    </w:p>
    <w:p w:rsidR="00D56640" w:rsidRDefault="00D56640" w:rsidP="007C21E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اشکال معمولاً جواب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به چند صورت که؛</w:t>
      </w:r>
    </w:p>
    <w:p w:rsidR="00D56640" w:rsidRDefault="00D56640" w:rsidP="007C21EF">
      <w:pPr>
        <w:pStyle w:val="Heading2"/>
        <w:rPr>
          <w:rtl/>
        </w:rPr>
      </w:pPr>
      <w:bookmarkStart w:id="8" w:name="_Toc431973655"/>
      <w:r>
        <w:rPr>
          <w:rFonts w:hint="cs"/>
          <w:rtl/>
        </w:rPr>
        <w:t>اشکال اول</w:t>
      </w:r>
      <w:bookmarkEnd w:id="8"/>
    </w:p>
    <w:p w:rsidR="00D56640" w:rsidRDefault="00D56640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محاضرات مرحوم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فرموده‌اند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جمله شرطیه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هیچ‌کدام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دو معنی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ندارد،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مصداق اصلی عصیان امر دیگری است و جمله شرطیه هرچند مصداقی از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آن‌هاست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حقیقت جمله شرطیه مثلاً کون در ارض مغصوبه است که در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این فرض مانعی وجود ندارد.</w:t>
      </w:r>
    </w:p>
    <w:p w:rsidR="00D56640" w:rsidRDefault="005630AF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به‌عبارت‌دیگر</w:t>
      </w:r>
      <w:r w:rsidR="00D56640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خلط بین خود شرط و مصادیق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D56640">
        <w:rPr>
          <w:rFonts w:ascii="IRBadr" w:hAnsi="IRBadr" w:cs="IRBadr" w:hint="cs"/>
          <w:sz w:val="28"/>
          <w:szCs w:val="28"/>
          <w:rtl/>
          <w:lang w:bidi="fa-IR"/>
        </w:rPr>
        <w:t xml:space="preserve"> صورت گرفته است.</w:t>
      </w:r>
    </w:p>
    <w:p w:rsidR="00D56640" w:rsidRDefault="00D56640" w:rsidP="007C21EF">
      <w:pPr>
        <w:pStyle w:val="Heading2"/>
        <w:rPr>
          <w:rFonts w:hint="cs"/>
          <w:rtl/>
        </w:rPr>
      </w:pPr>
      <w:bookmarkStart w:id="9" w:name="_Toc431973656"/>
      <w:r>
        <w:rPr>
          <w:rFonts w:hint="cs"/>
          <w:rtl/>
        </w:rPr>
        <w:t>خدشه در استدلال فوق</w:t>
      </w:r>
      <w:bookmarkEnd w:id="9"/>
    </w:p>
    <w:p w:rsidR="00D56640" w:rsidRDefault="00D56640" w:rsidP="007C21E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جواب شاید مورد مناقشه قرار گیرد که؛</w:t>
      </w:r>
    </w:p>
    <w:p w:rsidR="00D56640" w:rsidRDefault="00D56640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وقتی مفهوم نوعی مورد شرط قرار گرفت باید مصادیق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چنین حالتی را داشته باشند چراکه مصادیق کلی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ورا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نیستند و با تحقق حکم در قبال کلی به مصادیق نیز سرایت پیدا خواهد کرد.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درست است که حکم در اینجا همه را دربر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نباید منحصر به چند مصداق نمود.</w:t>
      </w:r>
    </w:p>
    <w:p w:rsidR="00D56640" w:rsidRDefault="005630AF" w:rsidP="007C21E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D56640">
        <w:rPr>
          <w:rFonts w:ascii="IRBadr" w:hAnsi="IRBadr" w:cs="IRBadr" w:hint="cs"/>
          <w:sz w:val="28"/>
          <w:szCs w:val="28"/>
          <w:rtl/>
          <w:lang w:bidi="fa-IR"/>
        </w:rPr>
        <w:t xml:space="preserve"> کلی طبیعی </w:t>
      </w:r>
      <w:r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 w:rsidR="00D56640">
        <w:rPr>
          <w:rFonts w:ascii="IRBadr" w:hAnsi="IRBadr" w:cs="IRBadr" w:hint="cs"/>
          <w:sz w:val="28"/>
          <w:szCs w:val="28"/>
          <w:rtl/>
          <w:lang w:bidi="fa-IR"/>
        </w:rPr>
        <w:t xml:space="preserve"> افرادش محقق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="00D56640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D56640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حد از بیان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D56640">
        <w:rPr>
          <w:rFonts w:ascii="IRBadr" w:hAnsi="IRBadr" w:cs="IRBadr" w:hint="cs"/>
          <w:sz w:val="28"/>
          <w:szCs w:val="28"/>
          <w:rtl/>
          <w:lang w:bidi="fa-IR"/>
        </w:rPr>
        <w:t xml:space="preserve"> مشکل را حل نمود.</w:t>
      </w:r>
    </w:p>
    <w:p w:rsidR="00D56640" w:rsidRDefault="00D56640" w:rsidP="007C21EF">
      <w:pPr>
        <w:pStyle w:val="Heading2"/>
        <w:rPr>
          <w:rtl/>
        </w:rPr>
      </w:pPr>
      <w:bookmarkStart w:id="10" w:name="_Toc431973657"/>
      <w:r>
        <w:rPr>
          <w:rFonts w:hint="cs"/>
          <w:rtl/>
        </w:rPr>
        <w:t>اشکال دوم</w:t>
      </w:r>
      <w:bookmarkEnd w:id="10"/>
    </w:p>
    <w:p w:rsidR="007C21EF" w:rsidRDefault="00D56640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تقریب دیگری که ظاهراً بتوان با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مشکل را پاسخ داد این ا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س</w:t>
      </w:r>
      <w:r>
        <w:rPr>
          <w:rFonts w:ascii="IRBadr" w:hAnsi="IRBadr" w:cs="IRBadr" w:hint="cs"/>
          <w:sz w:val="28"/>
          <w:szCs w:val="28"/>
          <w:rtl/>
          <w:lang w:bidi="fa-IR"/>
        </w:rPr>
        <w:t>ت که ترتب یعنی اگر عزم بر معصیت داری،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630AF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اثری به دنبال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آمد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شرط نفس معصیت نیست بلکه عزم بر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شرط در قضایای ترتب واقع محقق نیست چراکه در این صورت اشکال وجود خواهد داشت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ترتب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حمل بر عزم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C21EF">
        <w:rPr>
          <w:rFonts w:ascii="IRBadr" w:hAnsi="IRBadr" w:cs="IRBadr" w:hint="cs"/>
          <w:sz w:val="28"/>
          <w:szCs w:val="28"/>
          <w:rtl/>
          <w:lang w:bidi="fa-IR"/>
        </w:rPr>
        <w:t xml:space="preserve"> اشکال ایشان اختصاص به اینجا ندارد بلکه به همه موارد وارد است.</w:t>
      </w:r>
    </w:p>
    <w:p w:rsidR="007C21EF" w:rsidRDefault="005630AF" w:rsidP="007C21EF">
      <w:pPr>
        <w:pStyle w:val="Heading2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7C21EF" w:rsidRDefault="007C21EF" w:rsidP="007C21E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را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به‌ظاهر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اخذ نمود اما با تقریر فوق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قبل نمود.</w:t>
      </w:r>
    </w:p>
    <w:p w:rsidR="007C21EF" w:rsidRDefault="007C21EF" w:rsidP="007C21EF">
      <w:pPr>
        <w:pStyle w:val="Heading2"/>
        <w:rPr>
          <w:rFonts w:hint="cs"/>
          <w:rtl/>
        </w:rPr>
      </w:pPr>
      <w:bookmarkStart w:id="11" w:name="_Toc431973659"/>
      <w:r>
        <w:rPr>
          <w:rFonts w:hint="cs"/>
          <w:rtl/>
        </w:rPr>
        <w:t>اشکال سوم</w:t>
      </w:r>
      <w:bookmarkEnd w:id="11"/>
    </w:p>
    <w:p w:rsidR="007C21EF" w:rsidRDefault="007C21EF" w:rsidP="007C21E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سومین اشکالی که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موردنظر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نائینی است تمسک به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ملاکات است که ایشان به ملکات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اشکال‌دارند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امر خارج هرچند دارای وجود متعدد است اما ایجاد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ایجاد واحد است.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ایجاد قبح فاعلی تولید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چنین عملی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مقرب باشد.</w:t>
      </w:r>
    </w:p>
    <w:p w:rsidR="007C21EF" w:rsidRDefault="007C21EF" w:rsidP="007C21EF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مقبول است که اینجا امر مباشری و امر ترتبی طولی نیست ولی ملاک وجود دارد که ایشان در اینجا وجود ملاک را نیز نفی 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>م</w:t>
      </w:r>
      <w:r w:rsidR="00144C93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وجود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درآن‌واحد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یک فاعل محقق شده است و قبح فاعلی مانع از تحقق عبادت در خارج خواهد بود.</w:t>
      </w:r>
    </w:p>
    <w:p w:rsidR="007C21EF" w:rsidRDefault="007C21EF" w:rsidP="007C21EF">
      <w:pPr>
        <w:pStyle w:val="Heading2"/>
        <w:rPr>
          <w:rFonts w:hint="cs"/>
          <w:rtl/>
        </w:rPr>
      </w:pPr>
      <w:bookmarkStart w:id="12" w:name="_Toc431973660"/>
      <w:r>
        <w:rPr>
          <w:rFonts w:hint="cs"/>
          <w:rtl/>
        </w:rPr>
        <w:lastRenderedPageBreak/>
        <w:t>اتخاذ مبنا</w:t>
      </w:r>
      <w:bookmarkEnd w:id="12"/>
    </w:p>
    <w:p w:rsidR="007C21EF" w:rsidRDefault="007C21EF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بیان نیز جواب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ایجاد و وجود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قاعده‌ای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عقلی که متحد هستند و در این بیان شما تعارض است که وجود متعدد باشد و ایجاد واحد بوده باشد.</w:t>
      </w:r>
      <w:r w:rsidR="00144C93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لازم است در پی تعدد وجود ایجاد نیز متعدد باشد هرچند پیوستگی این دو عمل بسیار زیاد است ولی این دلیل بر وحدت دو وجود در اینجا </w:t>
      </w:r>
      <w:r>
        <w:rPr>
          <w:rFonts w:ascii="IRBadr" w:hAnsi="IRBadr" w:cs="IRBadr" w:hint="cs"/>
          <w:sz w:val="28"/>
          <w:szCs w:val="28"/>
          <w:rtl/>
          <w:lang w:bidi="fa-IR"/>
        </w:rPr>
        <w:t>نیست.</w:t>
      </w:r>
    </w:p>
    <w:p w:rsidR="007C21EF" w:rsidRPr="009F622B" w:rsidRDefault="007C21EF" w:rsidP="007C21E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ترکیب اتحادی ممکن است کسی اشکالی داشته باشد که </w:t>
      </w:r>
      <w:r w:rsidR="005630AF">
        <w:rPr>
          <w:rFonts w:ascii="IRBadr" w:hAnsi="IRBadr" w:cs="IRBadr" w:hint="cs"/>
          <w:sz w:val="28"/>
          <w:szCs w:val="28"/>
          <w:rtl/>
          <w:lang w:bidi="fa-IR"/>
        </w:rPr>
        <w:t>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شاء الله در جلسه آینده بدان پرداخته خواهد شد.</w:t>
      </w:r>
    </w:p>
    <w:sectPr w:rsidR="007C21EF" w:rsidRPr="009F622B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CF" w:rsidRDefault="00CD07CF" w:rsidP="000D5800">
      <w:pPr>
        <w:spacing w:after="0" w:line="240" w:lineRule="auto"/>
      </w:pPr>
      <w:r>
        <w:separator/>
      </w:r>
    </w:p>
  </w:endnote>
  <w:endnote w:type="continuationSeparator" w:id="0">
    <w:p w:rsidR="00CD07CF" w:rsidRDefault="00CD07C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93" w:rsidRDefault="00144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93" w:rsidRDefault="00144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93" w:rsidRDefault="00144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CF" w:rsidRDefault="00CD07CF" w:rsidP="000D5800">
      <w:pPr>
        <w:spacing w:after="0" w:line="240" w:lineRule="auto"/>
      </w:pPr>
      <w:r>
        <w:separator/>
      </w:r>
    </w:p>
  </w:footnote>
  <w:footnote w:type="continuationSeparator" w:id="0">
    <w:p w:rsidR="00CD07CF" w:rsidRDefault="00CD07CF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93" w:rsidRDefault="00144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9F622B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3BE5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9F622B">
      <w:rPr>
        <w:rFonts w:ascii="IranNastaliq" w:hAnsi="IranNastaliq" w:cs="IranNastaliq" w:hint="cs"/>
        <w:sz w:val="40"/>
        <w:szCs w:val="40"/>
        <w:rtl/>
        <w:lang w:bidi="fa-IR"/>
      </w:rPr>
      <w:t>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93" w:rsidRDefault="00144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44C93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630AF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21EF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9F622B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D07CF"/>
    <w:rsid w:val="00CE31E6"/>
    <w:rsid w:val="00CE3B74"/>
    <w:rsid w:val="00CF42E2"/>
    <w:rsid w:val="00CF7916"/>
    <w:rsid w:val="00D158F3"/>
    <w:rsid w:val="00D3665C"/>
    <w:rsid w:val="00D508CC"/>
    <w:rsid w:val="00D50F4B"/>
    <w:rsid w:val="00D5559F"/>
    <w:rsid w:val="00D56640"/>
    <w:rsid w:val="00D60547"/>
    <w:rsid w:val="00D66444"/>
    <w:rsid w:val="00D75A0A"/>
    <w:rsid w:val="00DB28BB"/>
    <w:rsid w:val="00DB5D3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368E"/>
    <w:rsid w:val="00F67976"/>
    <w:rsid w:val="00F70BE1"/>
    <w:rsid w:val="00F70CBF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5818-28BA-45A5-B2DD-E6F62F5A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133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35</cp:revision>
  <dcterms:created xsi:type="dcterms:W3CDTF">2014-11-18T06:47:00Z</dcterms:created>
  <dcterms:modified xsi:type="dcterms:W3CDTF">2015-10-07T06:05:00Z</dcterms:modified>
</cp:coreProperties>
</file>