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75" w:rsidRPr="00BD75DF" w:rsidRDefault="008A7975" w:rsidP="008A7975">
      <w:pPr>
        <w:pStyle w:val="1"/>
        <w:rPr>
          <w:sz w:val="16"/>
          <w:szCs w:val="26"/>
        </w:rPr>
      </w:pPr>
      <w:r w:rsidRPr="00BD75DF">
        <w:rPr>
          <w:rFonts w:hint="cs"/>
          <w:sz w:val="16"/>
          <w:szCs w:val="26"/>
          <w:rtl/>
        </w:rPr>
        <w:t>دلیل ششم: برای جواز اجتماع</w:t>
      </w:r>
      <w:bookmarkStart w:id="0" w:name="_GoBack"/>
      <w:bookmarkEnd w:id="0"/>
    </w:p>
    <w:p w:rsidR="008A7975" w:rsidRPr="00BD75DF" w:rsidRDefault="008A7975" w:rsidP="008A7975">
      <w:pPr>
        <w:rPr>
          <w:sz w:val="20"/>
          <w:szCs w:val="20"/>
          <w:rtl/>
        </w:rPr>
      </w:pPr>
      <w:r w:rsidRPr="00BD75DF">
        <w:rPr>
          <w:rFonts w:hint="cs"/>
          <w:sz w:val="20"/>
          <w:szCs w:val="20"/>
          <w:rtl/>
        </w:rPr>
        <w:t>این دلیل در کفایه به‌عنوان دلیل دوم آمده است. دلیل ششم استناد به یک ارتکاز طبیعی و سالم عرفی است مبنی بر اینکه اجتماع امرونهی جایز است، این ارتکاز عرفی دقیق و مقبول است. در این موارد باید نظر عرف را دید؛ تلقی عرف آن است که اجتماع امرونهی ممکن و جایز است. در مثال امر به دوختن لباس و منع از رفتن به خانه دشمن مولا، اگر عبد در همان مکان برود و لباس را بدوزد، عرف می</w:t>
      </w:r>
      <w:r w:rsidRPr="00BD75DF">
        <w:rPr>
          <w:sz w:val="20"/>
          <w:szCs w:val="20"/>
          <w:rtl/>
        </w:rPr>
        <w:softHyphen/>
      </w:r>
      <w:r w:rsidRPr="00BD75DF">
        <w:rPr>
          <w:rFonts w:hint="cs"/>
          <w:sz w:val="20"/>
          <w:szCs w:val="20"/>
          <w:rtl/>
        </w:rPr>
        <w:t>گوید، در اطاعت و عصیان جمع دو تکلیف متضاد نموده است.</w:t>
      </w:r>
    </w:p>
    <w:p w:rsidR="008A7975" w:rsidRPr="00BD75DF" w:rsidRDefault="008A7975" w:rsidP="008A7975">
      <w:pPr>
        <w:pStyle w:val="2"/>
        <w:rPr>
          <w:sz w:val="16"/>
          <w:szCs w:val="26"/>
          <w:rtl/>
        </w:rPr>
      </w:pPr>
      <w:r w:rsidRPr="00BD75DF">
        <w:rPr>
          <w:rFonts w:hint="cs"/>
          <w:sz w:val="16"/>
          <w:szCs w:val="26"/>
          <w:rtl/>
        </w:rPr>
        <w:t>پاسخ مرحوم آخوند خراسانی</w:t>
      </w:r>
    </w:p>
    <w:p w:rsidR="008A7975" w:rsidRPr="00BD75DF" w:rsidRDefault="008A7975" w:rsidP="008A7975">
      <w:pPr>
        <w:rPr>
          <w:sz w:val="20"/>
          <w:szCs w:val="20"/>
          <w:rtl/>
        </w:rPr>
      </w:pPr>
      <w:r w:rsidRPr="00BD75DF">
        <w:rPr>
          <w:rFonts w:hint="cs"/>
          <w:sz w:val="20"/>
          <w:szCs w:val="20"/>
          <w:rtl/>
        </w:rPr>
        <w:t>مرحوم آخوند خراسانی پاسخ داد که در ترکیب انضمامی دو کار ملازم یکدیگر است، شبیه نمازخواندن و نگاه به نامحرم؛ این مورد با ترکیب اتحادی فرق دارد. در مثال نمازخواندن در مکان غصبی که ترکیب اتحادی است و تمام حرکات ازجمله قیام و قعود اشکال پیش می</w:t>
      </w:r>
      <w:r w:rsidRPr="00BD75DF">
        <w:rPr>
          <w:rFonts w:hint="cs"/>
          <w:sz w:val="20"/>
          <w:szCs w:val="20"/>
          <w:rtl/>
        </w:rPr>
        <w:softHyphen/>
        <w:t>آید لذا اجتماع ممنوع است.</w:t>
      </w:r>
    </w:p>
    <w:p w:rsidR="008A7975" w:rsidRPr="00BD75DF" w:rsidRDefault="008A7975" w:rsidP="008A7975">
      <w:pPr>
        <w:rPr>
          <w:sz w:val="20"/>
          <w:szCs w:val="20"/>
          <w:rtl/>
        </w:rPr>
      </w:pPr>
      <w:r w:rsidRPr="00BD75DF">
        <w:rPr>
          <w:rFonts w:hint="cs"/>
          <w:sz w:val="20"/>
          <w:szCs w:val="20"/>
          <w:rtl/>
        </w:rPr>
        <w:t xml:space="preserve">پاسخ دوم آخوند این است </w:t>
      </w:r>
      <w:r w:rsidRPr="00BD75DF">
        <w:rPr>
          <w:sz w:val="20"/>
          <w:szCs w:val="20"/>
          <w:rtl/>
        </w:rPr>
        <w:t>که</w:t>
      </w:r>
      <w:r w:rsidRPr="00BD75DF">
        <w:rPr>
          <w:rFonts w:hint="cs"/>
          <w:sz w:val="20"/>
          <w:szCs w:val="20"/>
          <w:rtl/>
        </w:rPr>
        <w:t xml:space="preserve"> این مورد توصلی است و تحصیل غرض مولا بدون وجود امر نیز ممکن است، مهم آن است که غرض حاصل شود که با دوخت لباس انجام شده است و لو اینکه امر مولا اطاعت نشود یا </w:t>
      </w:r>
      <w:r w:rsidRPr="00BD75DF">
        <w:rPr>
          <w:sz w:val="20"/>
          <w:szCs w:val="20"/>
          <w:rtl/>
        </w:rPr>
        <w:t>اصلاً</w:t>
      </w:r>
      <w:r w:rsidRPr="00BD75DF">
        <w:rPr>
          <w:rFonts w:hint="cs"/>
          <w:sz w:val="20"/>
          <w:szCs w:val="20"/>
          <w:rtl/>
        </w:rPr>
        <w:t xml:space="preserve"> امر نداشته باشد. ارتکاز به خاطر وجود امر نیست بلکه به خاطر حصول غرض مولا است کما اینکه در مثال دفن میت (که فعلی توصلی است) توسط غیر مکلف مثل دیوانه انجام شود، کافی است. البته در </w:t>
      </w:r>
      <w:r w:rsidRPr="00BD75DF">
        <w:rPr>
          <w:sz w:val="20"/>
          <w:szCs w:val="20"/>
          <w:rtl/>
        </w:rPr>
        <w:t>تعبد</w:t>
      </w:r>
      <w:r w:rsidRPr="00BD75DF">
        <w:rPr>
          <w:rFonts w:hint="cs"/>
          <w:sz w:val="20"/>
          <w:szCs w:val="20"/>
          <w:rtl/>
        </w:rPr>
        <w:t>ی</w:t>
      </w:r>
      <w:r w:rsidRPr="00BD75DF">
        <w:rPr>
          <w:rFonts w:hint="eastAsia"/>
          <w:sz w:val="20"/>
          <w:szCs w:val="20"/>
          <w:rtl/>
        </w:rPr>
        <w:t>ات</w:t>
      </w:r>
      <w:r w:rsidRPr="00BD75DF">
        <w:rPr>
          <w:rFonts w:hint="cs"/>
          <w:sz w:val="20"/>
          <w:szCs w:val="20"/>
          <w:rtl/>
        </w:rPr>
        <w:t xml:space="preserve"> این نوع تلقی صحیح نیست.</w:t>
      </w:r>
    </w:p>
    <w:p w:rsidR="008A7975" w:rsidRPr="00BD75DF" w:rsidRDefault="008A7975" w:rsidP="008A7975">
      <w:pPr>
        <w:rPr>
          <w:sz w:val="20"/>
          <w:szCs w:val="20"/>
          <w:rtl/>
        </w:rPr>
      </w:pPr>
      <w:r w:rsidRPr="00BD75DF">
        <w:rPr>
          <w:rFonts w:hint="cs"/>
          <w:sz w:val="20"/>
          <w:szCs w:val="20"/>
          <w:rtl/>
        </w:rPr>
        <w:t>نکته دیگر این است که: این برداشت عرفی مقابل برهان است، لذا با وجود برهان نمی</w:t>
      </w:r>
      <w:r w:rsidRPr="00BD75DF">
        <w:rPr>
          <w:sz w:val="20"/>
          <w:szCs w:val="20"/>
          <w:rtl/>
        </w:rPr>
        <w:softHyphen/>
      </w:r>
      <w:r w:rsidRPr="00BD75DF">
        <w:rPr>
          <w:rFonts w:hint="cs"/>
          <w:sz w:val="20"/>
          <w:szCs w:val="20"/>
          <w:rtl/>
        </w:rPr>
        <w:t xml:space="preserve">توان به </w:t>
      </w:r>
      <w:r w:rsidRPr="00BD75DF">
        <w:rPr>
          <w:sz w:val="20"/>
          <w:szCs w:val="20"/>
          <w:rtl/>
        </w:rPr>
        <w:t>عرف</w:t>
      </w:r>
      <w:r w:rsidRPr="00BD75DF">
        <w:rPr>
          <w:rFonts w:hint="cs"/>
          <w:sz w:val="20"/>
          <w:szCs w:val="20"/>
          <w:rtl/>
        </w:rPr>
        <w:t>یات تمسک نمود. تمسک به عرف اختصاص به مواردی دارد که در مقابلش برهان قطعی نباشد.</w:t>
      </w:r>
    </w:p>
    <w:p w:rsidR="008A7975" w:rsidRPr="00BD75DF" w:rsidRDefault="008A7975" w:rsidP="008A7975">
      <w:pPr>
        <w:pStyle w:val="2"/>
        <w:rPr>
          <w:sz w:val="16"/>
          <w:szCs w:val="26"/>
          <w:rtl/>
        </w:rPr>
      </w:pPr>
      <w:r w:rsidRPr="00BD75DF">
        <w:rPr>
          <w:rFonts w:hint="cs"/>
          <w:sz w:val="16"/>
          <w:szCs w:val="26"/>
          <w:rtl/>
        </w:rPr>
        <w:t>ملاحظات</w:t>
      </w:r>
    </w:p>
    <w:p w:rsidR="008A7975" w:rsidRPr="00BD75DF" w:rsidRDefault="008A7975" w:rsidP="008A7975">
      <w:pPr>
        <w:pStyle w:val="3"/>
        <w:spacing w:before="0"/>
        <w:rPr>
          <w:sz w:val="10"/>
          <w:szCs w:val="22"/>
          <w:rtl/>
        </w:rPr>
      </w:pPr>
      <w:r w:rsidRPr="00BD75DF">
        <w:rPr>
          <w:rFonts w:hint="cs"/>
          <w:sz w:val="10"/>
          <w:szCs w:val="22"/>
          <w:rtl/>
        </w:rPr>
        <w:t>ملاحظه اول</w:t>
      </w:r>
    </w:p>
    <w:p w:rsidR="008A7975" w:rsidRPr="00BD75DF" w:rsidRDefault="008A7975" w:rsidP="008A7975">
      <w:pPr>
        <w:rPr>
          <w:sz w:val="20"/>
          <w:szCs w:val="20"/>
          <w:rtl/>
        </w:rPr>
      </w:pPr>
      <w:r w:rsidRPr="00BD75DF">
        <w:rPr>
          <w:rFonts w:hint="cs"/>
          <w:sz w:val="20"/>
          <w:szCs w:val="20"/>
          <w:rtl/>
        </w:rPr>
        <w:t>در مانحن‌فیه، بحث کبروی وجود دارد</w:t>
      </w:r>
      <w:r w:rsidRPr="00BD75DF">
        <w:rPr>
          <w:sz w:val="20"/>
          <w:szCs w:val="20"/>
          <w:rtl/>
        </w:rPr>
        <w:t xml:space="preserve"> </w:t>
      </w:r>
      <w:r w:rsidRPr="00BD75DF">
        <w:rPr>
          <w:rFonts w:hint="cs"/>
          <w:sz w:val="20"/>
          <w:szCs w:val="20"/>
          <w:rtl/>
        </w:rPr>
        <w:t>و آن اینکه تا کجا می</w:t>
      </w:r>
      <w:r w:rsidRPr="00BD75DF">
        <w:rPr>
          <w:sz w:val="20"/>
          <w:szCs w:val="20"/>
          <w:rtl/>
        </w:rPr>
        <w:softHyphen/>
      </w:r>
      <w:r w:rsidRPr="00BD75DF">
        <w:rPr>
          <w:rFonts w:hint="cs"/>
          <w:sz w:val="20"/>
          <w:szCs w:val="20"/>
          <w:rtl/>
        </w:rPr>
        <w:t>توان به ارتکازات عرفی مراجعه نمود؟ در مباحث گذشته ما عرض</w:t>
      </w:r>
      <w:r w:rsidRPr="00BD75DF">
        <w:rPr>
          <w:sz w:val="20"/>
          <w:szCs w:val="20"/>
          <w:rtl/>
        </w:rPr>
        <w:softHyphen/>
      </w:r>
      <w:r w:rsidRPr="00BD75DF">
        <w:rPr>
          <w:rFonts w:hint="cs"/>
          <w:sz w:val="20"/>
          <w:szCs w:val="20"/>
          <w:rtl/>
        </w:rPr>
        <w:t xml:space="preserve">هایی پراکنده داشتیم، شاید بشود «نقش و جایگاه ارتکاز عرفی در اجتهاد» را به‌صورت کامل و جامع (در فرصت مناسب) بحث کنیم. باید دید، موارد و حجیت آن چه قدر است؟ متقدمین به‌صورت ضمنی مباحثی </w:t>
      </w:r>
      <w:r w:rsidRPr="00BD75DF">
        <w:rPr>
          <w:sz w:val="20"/>
          <w:szCs w:val="20"/>
          <w:rtl/>
        </w:rPr>
        <w:t>داشته‌اند</w:t>
      </w:r>
      <w:r w:rsidRPr="00BD75DF">
        <w:rPr>
          <w:rFonts w:hint="cs"/>
          <w:sz w:val="20"/>
          <w:szCs w:val="20"/>
          <w:rtl/>
        </w:rPr>
        <w:t xml:space="preserve">. این مسئله در حقوق جدید نیز مطرح است. در موضوع بحث ما، دریافت عرف </w:t>
      </w:r>
      <w:r w:rsidRPr="00BD75DF">
        <w:rPr>
          <w:sz w:val="20"/>
          <w:szCs w:val="20"/>
          <w:rtl/>
        </w:rPr>
        <w:t>کاملاً</w:t>
      </w:r>
      <w:r w:rsidRPr="00BD75DF">
        <w:rPr>
          <w:rFonts w:hint="cs"/>
          <w:sz w:val="20"/>
          <w:szCs w:val="20"/>
          <w:rtl/>
        </w:rPr>
        <w:t xml:space="preserve"> بی‌اعتبار نیست کما اینکه آخوند خراسانی نیز اعتبار ارتکاز عرفی را به‌طور مطلق نفی ننموده است. پس عرف دقیق قابل‌اتکا است. بااینکه مقدمات چهارگانه امتناعی آخوند در کفایه «عقلی» بود، ممکن است برخی از آن مقدمات تکیه بر عرف را منع نمایند و فقط دنبال استدلال عقلی باشند؛ این‌طور نیست، زیرا همان ادله عقلی نیز جنبه</w:t>
      </w:r>
      <w:r w:rsidRPr="00BD75DF">
        <w:rPr>
          <w:sz w:val="20"/>
          <w:szCs w:val="20"/>
          <w:rtl/>
        </w:rPr>
        <w:softHyphen/>
      </w:r>
      <w:r w:rsidRPr="00BD75DF">
        <w:rPr>
          <w:rFonts w:hint="cs"/>
          <w:sz w:val="20"/>
          <w:szCs w:val="20"/>
          <w:rtl/>
        </w:rPr>
        <w:t xml:space="preserve">های عرفی دارد، زیرا دقت عقلی ناظر به </w:t>
      </w:r>
      <w:r w:rsidRPr="00BD75DF">
        <w:rPr>
          <w:sz w:val="20"/>
          <w:szCs w:val="20"/>
          <w:rtl/>
        </w:rPr>
        <w:t>عرف</w:t>
      </w:r>
      <w:r w:rsidRPr="00BD75DF">
        <w:rPr>
          <w:rFonts w:hint="cs"/>
          <w:sz w:val="20"/>
          <w:szCs w:val="20"/>
          <w:rtl/>
        </w:rPr>
        <w:t>یا</w:t>
      </w:r>
      <w:r w:rsidRPr="00BD75DF">
        <w:rPr>
          <w:rFonts w:hint="eastAsia"/>
          <w:sz w:val="20"/>
          <w:szCs w:val="20"/>
          <w:rtl/>
        </w:rPr>
        <w:t>ت</w:t>
      </w:r>
      <w:r w:rsidRPr="00BD75DF">
        <w:rPr>
          <w:rFonts w:hint="cs"/>
          <w:sz w:val="20"/>
          <w:szCs w:val="20"/>
          <w:rtl/>
        </w:rPr>
        <w:t xml:space="preserve"> است. اینکه مانحن‌فیه، محل مراجعه به عرف نیست، مقبول نیست بلکه جای مراجعه به عرف هست.</w:t>
      </w:r>
    </w:p>
    <w:p w:rsidR="008A7975" w:rsidRPr="00BD75DF" w:rsidRDefault="008A7975" w:rsidP="008A7975">
      <w:pPr>
        <w:rPr>
          <w:sz w:val="20"/>
          <w:szCs w:val="20"/>
          <w:rtl/>
        </w:rPr>
      </w:pPr>
      <w:r w:rsidRPr="00BD75DF">
        <w:rPr>
          <w:rFonts w:hint="cs"/>
          <w:sz w:val="20"/>
          <w:szCs w:val="20"/>
          <w:rtl/>
        </w:rPr>
        <w:t>از طرفی دریافت عادی، طبیعی و عرفی راهنما است که انسان راه را خطا نرود. گرچه اگر عرف متسامح و سطحی در برابر دریافت «عقلی صریح» مطلبی را بیان نماید؛ نباید دریافت عرف قبول نمود. اگر کسی این بحث را فلسفی و برهانی بداند که جای بحث از عرف نیست، به باور ما محل مراجعه به عرف هست، در این بحث روابط مولا و عبید، دریافت ناب عرفی، راهنمای استدلالات می</w:t>
      </w:r>
      <w:r w:rsidRPr="00BD75DF">
        <w:rPr>
          <w:sz w:val="20"/>
          <w:szCs w:val="20"/>
          <w:rtl/>
        </w:rPr>
        <w:softHyphen/>
      </w:r>
      <w:r w:rsidRPr="00BD75DF">
        <w:rPr>
          <w:rFonts w:hint="cs"/>
          <w:sz w:val="20"/>
          <w:szCs w:val="20"/>
          <w:rtl/>
        </w:rPr>
        <w:t>شود.</w:t>
      </w:r>
      <w:r w:rsidRPr="00BD75DF">
        <w:rPr>
          <w:sz w:val="20"/>
          <w:szCs w:val="20"/>
          <w:rtl/>
        </w:rPr>
        <w:t xml:space="preserve"> </w:t>
      </w:r>
      <w:r w:rsidRPr="00BD75DF">
        <w:rPr>
          <w:rFonts w:hint="cs"/>
          <w:sz w:val="20"/>
          <w:szCs w:val="20"/>
          <w:rtl/>
        </w:rPr>
        <w:t>ازنظر معرفت‌شناسی اصولی، این‌طور نیست که به‌راحتی عرف کنار گذاشته شود.</w:t>
      </w:r>
    </w:p>
    <w:p w:rsidR="008A7975" w:rsidRPr="00BD75DF" w:rsidRDefault="008A7975" w:rsidP="008A7975">
      <w:pPr>
        <w:rPr>
          <w:sz w:val="20"/>
          <w:szCs w:val="20"/>
          <w:rtl/>
        </w:rPr>
      </w:pPr>
      <w:r w:rsidRPr="00BD75DF">
        <w:rPr>
          <w:rFonts w:hint="cs"/>
          <w:sz w:val="20"/>
          <w:szCs w:val="20"/>
          <w:rtl/>
        </w:rPr>
        <w:t>در عصر ما آیات عظام امام و خویی، صدر و تبریزی رحمهم الله در عین تفاوت دیدگاه در استدلالات، به عرف مراجعه می</w:t>
      </w:r>
      <w:r w:rsidRPr="00BD75DF">
        <w:rPr>
          <w:rFonts w:hint="cs"/>
          <w:sz w:val="20"/>
          <w:szCs w:val="20"/>
          <w:rtl/>
        </w:rPr>
        <w:softHyphen/>
        <w:t>نمودند. تمام فهم عرف را با یک چوب راندن صحیح نیست.</w:t>
      </w:r>
    </w:p>
    <w:p w:rsidR="008A7975" w:rsidRPr="00BD75DF" w:rsidRDefault="008A7975" w:rsidP="008A7975">
      <w:pPr>
        <w:pStyle w:val="3"/>
        <w:rPr>
          <w:sz w:val="10"/>
          <w:szCs w:val="22"/>
          <w:rtl/>
        </w:rPr>
      </w:pPr>
      <w:r w:rsidRPr="00BD75DF">
        <w:rPr>
          <w:rFonts w:hint="cs"/>
          <w:sz w:val="10"/>
          <w:szCs w:val="22"/>
          <w:rtl/>
        </w:rPr>
        <w:t>ملاحظه دوم</w:t>
      </w:r>
    </w:p>
    <w:p w:rsidR="008A7975" w:rsidRPr="00BD75DF" w:rsidRDefault="008A7975" w:rsidP="008A7975">
      <w:pPr>
        <w:rPr>
          <w:sz w:val="20"/>
          <w:szCs w:val="20"/>
          <w:rtl/>
        </w:rPr>
      </w:pPr>
      <w:r w:rsidRPr="00BD75DF">
        <w:rPr>
          <w:rFonts w:hint="cs"/>
          <w:sz w:val="20"/>
          <w:szCs w:val="20"/>
          <w:rtl/>
        </w:rPr>
        <w:t>نکته دوم، بحث صغروی است و آن اینکه در مانحن‌فیه ترکیب اتحادی و انضمامی هردو محل نزاع است. در ترکیب انضمامی، فهم عرفی آن دو را دو چیز می</w:t>
      </w:r>
      <w:r w:rsidRPr="00BD75DF">
        <w:rPr>
          <w:sz w:val="20"/>
          <w:szCs w:val="20"/>
          <w:rtl/>
        </w:rPr>
        <w:softHyphen/>
      </w:r>
      <w:r w:rsidRPr="00BD75DF">
        <w:rPr>
          <w:rFonts w:hint="cs"/>
          <w:sz w:val="20"/>
          <w:szCs w:val="20"/>
          <w:rtl/>
        </w:rPr>
        <w:t>داند؛ یک نفر می</w:t>
      </w:r>
      <w:r w:rsidRPr="00BD75DF">
        <w:rPr>
          <w:sz w:val="20"/>
          <w:szCs w:val="20"/>
          <w:rtl/>
        </w:rPr>
        <w:softHyphen/>
      </w:r>
      <w:r w:rsidRPr="00BD75DF">
        <w:rPr>
          <w:rFonts w:hint="cs"/>
          <w:sz w:val="20"/>
          <w:szCs w:val="20"/>
          <w:rtl/>
        </w:rPr>
        <w:t xml:space="preserve">تواند مطیع و درعین‌حال عاصی باشد. فهم عرفی در این مورد خیلی قوی است و اجتماع </w:t>
      </w:r>
      <w:r w:rsidRPr="00BD75DF">
        <w:rPr>
          <w:sz w:val="20"/>
          <w:szCs w:val="20"/>
          <w:rtl/>
        </w:rPr>
        <w:t>کاملاً</w:t>
      </w:r>
      <w:r w:rsidRPr="00BD75DF">
        <w:rPr>
          <w:rFonts w:hint="cs"/>
          <w:sz w:val="20"/>
          <w:szCs w:val="20"/>
          <w:rtl/>
        </w:rPr>
        <w:t xml:space="preserve"> ممکن است. در مثال خیاطت در مکان خاص و نماز با نگاه به نامحرم از همین قبیل است؛ فرد </w:t>
      </w:r>
      <w:r w:rsidRPr="00BD75DF">
        <w:rPr>
          <w:sz w:val="20"/>
          <w:szCs w:val="20"/>
          <w:rtl/>
        </w:rPr>
        <w:t>واقعاً</w:t>
      </w:r>
      <w:r w:rsidRPr="00BD75DF">
        <w:rPr>
          <w:rFonts w:hint="cs"/>
          <w:sz w:val="20"/>
          <w:szCs w:val="20"/>
          <w:rtl/>
        </w:rPr>
        <w:t xml:space="preserve"> دو کار متفاوت انجام می</w:t>
      </w:r>
      <w:r w:rsidRPr="00BD75DF">
        <w:rPr>
          <w:rFonts w:hint="cs"/>
          <w:sz w:val="20"/>
          <w:szCs w:val="20"/>
          <w:rtl/>
        </w:rPr>
        <w:softHyphen/>
        <w:t>دهد.</w:t>
      </w:r>
    </w:p>
    <w:p w:rsidR="008A7975" w:rsidRPr="00BD75DF" w:rsidRDefault="008A7975" w:rsidP="008A7975">
      <w:pPr>
        <w:rPr>
          <w:sz w:val="20"/>
          <w:szCs w:val="20"/>
          <w:rtl/>
        </w:rPr>
      </w:pPr>
      <w:r w:rsidRPr="00BD75DF">
        <w:rPr>
          <w:rFonts w:hint="cs"/>
          <w:sz w:val="20"/>
          <w:szCs w:val="20"/>
          <w:rtl/>
        </w:rPr>
        <w:t>به نظر ما استدلال اصولی مطابق ارتکاز عرفی است و همان مفهوم را می</w:t>
      </w:r>
      <w:r w:rsidRPr="00BD75DF">
        <w:rPr>
          <w:rFonts w:hint="cs"/>
          <w:sz w:val="20"/>
          <w:szCs w:val="20"/>
          <w:rtl/>
        </w:rPr>
        <w:softHyphen/>
        <w:t xml:space="preserve">رساند. این ارتکاز عرفی حتی در </w:t>
      </w:r>
      <w:r w:rsidRPr="00BD75DF">
        <w:rPr>
          <w:sz w:val="20"/>
          <w:szCs w:val="20"/>
          <w:rtl/>
        </w:rPr>
        <w:t>تعبد</w:t>
      </w:r>
      <w:r w:rsidRPr="00BD75DF">
        <w:rPr>
          <w:rFonts w:hint="cs"/>
          <w:sz w:val="20"/>
          <w:szCs w:val="20"/>
          <w:rtl/>
        </w:rPr>
        <w:t>ی</w:t>
      </w:r>
      <w:r w:rsidRPr="00BD75DF">
        <w:rPr>
          <w:rFonts w:hint="eastAsia"/>
          <w:sz w:val="20"/>
          <w:szCs w:val="20"/>
          <w:rtl/>
        </w:rPr>
        <w:t>ات</w:t>
      </w:r>
      <w:r w:rsidRPr="00BD75DF">
        <w:rPr>
          <w:rFonts w:hint="cs"/>
          <w:sz w:val="20"/>
          <w:szCs w:val="20"/>
          <w:rtl/>
        </w:rPr>
        <w:t xml:space="preserve"> آن‌قدر قوی است</w:t>
      </w:r>
      <w:r w:rsidRPr="00BD75DF">
        <w:rPr>
          <w:sz w:val="20"/>
          <w:szCs w:val="20"/>
          <w:rtl/>
        </w:rPr>
        <w:t xml:space="preserve"> </w:t>
      </w:r>
      <w:r w:rsidRPr="00BD75DF">
        <w:rPr>
          <w:rFonts w:hint="cs"/>
          <w:sz w:val="20"/>
          <w:szCs w:val="20"/>
          <w:rtl/>
        </w:rPr>
        <w:t>که مخالفین باید در استدلالات خویش تجدیدنظر نمایند. البته در ترکیب اتحادی ارتکاز عرفی خیلی جا ندارد.</w:t>
      </w:r>
    </w:p>
    <w:p w:rsidR="008A7975" w:rsidRPr="00BD75DF" w:rsidRDefault="008A7975" w:rsidP="008A7975">
      <w:pPr>
        <w:pStyle w:val="1"/>
        <w:rPr>
          <w:sz w:val="16"/>
          <w:szCs w:val="26"/>
          <w:rtl/>
        </w:rPr>
      </w:pPr>
      <w:r w:rsidRPr="00BD75DF">
        <w:rPr>
          <w:rFonts w:hint="cs"/>
          <w:sz w:val="16"/>
          <w:szCs w:val="26"/>
          <w:rtl/>
        </w:rPr>
        <w:lastRenderedPageBreak/>
        <w:t>دلیل هفتم</w:t>
      </w:r>
    </w:p>
    <w:p w:rsidR="008A7975" w:rsidRPr="00BD75DF" w:rsidRDefault="008A7975" w:rsidP="008A7975">
      <w:pPr>
        <w:rPr>
          <w:sz w:val="20"/>
          <w:szCs w:val="20"/>
          <w:rtl/>
        </w:rPr>
      </w:pPr>
      <w:r w:rsidRPr="00BD75DF">
        <w:rPr>
          <w:rFonts w:hint="cs"/>
          <w:sz w:val="20"/>
          <w:szCs w:val="20"/>
          <w:rtl/>
        </w:rPr>
        <w:t>دلیل هفتم بر اجتماع امرونهی توسط میرزای قمی در قوانین آمده است، این مورد را بحث نمی</w:t>
      </w:r>
      <w:r w:rsidRPr="00BD75DF">
        <w:rPr>
          <w:sz w:val="20"/>
          <w:szCs w:val="20"/>
          <w:rtl/>
        </w:rPr>
        <w:softHyphen/>
      </w:r>
      <w:r w:rsidRPr="00BD75DF">
        <w:rPr>
          <w:rFonts w:hint="cs"/>
          <w:sz w:val="20"/>
          <w:szCs w:val="20"/>
          <w:rtl/>
        </w:rPr>
        <w:t>کنیم زیرا خیلی مهم نیست. میرزای قمی معتقد است که وجود فرد مقدمه</w:t>
      </w:r>
      <w:r w:rsidRPr="00BD75DF">
        <w:rPr>
          <w:sz w:val="20"/>
          <w:szCs w:val="20"/>
          <w:rtl/>
        </w:rPr>
        <w:softHyphen/>
      </w:r>
      <w:r w:rsidRPr="00BD75DF">
        <w:rPr>
          <w:rFonts w:hint="cs"/>
          <w:sz w:val="20"/>
          <w:szCs w:val="20"/>
          <w:rtl/>
        </w:rPr>
        <w:t xml:space="preserve"> وجود کلی و طبیعت است.</w:t>
      </w:r>
    </w:p>
    <w:p w:rsidR="008A7975" w:rsidRPr="00BD75DF" w:rsidRDefault="008A7975" w:rsidP="008A7975">
      <w:pPr>
        <w:pStyle w:val="2"/>
        <w:rPr>
          <w:sz w:val="16"/>
          <w:szCs w:val="26"/>
          <w:rtl/>
        </w:rPr>
      </w:pPr>
      <w:r w:rsidRPr="00BD75DF">
        <w:rPr>
          <w:rFonts w:hint="cs"/>
          <w:sz w:val="16"/>
          <w:szCs w:val="26"/>
          <w:rtl/>
        </w:rPr>
        <w:t>پاسخ استدلال</w:t>
      </w:r>
    </w:p>
    <w:p w:rsidR="008A7975" w:rsidRPr="00BD75DF" w:rsidRDefault="008A7975" w:rsidP="008A7975">
      <w:pPr>
        <w:rPr>
          <w:sz w:val="20"/>
          <w:szCs w:val="20"/>
          <w:rtl/>
        </w:rPr>
      </w:pPr>
      <w:r w:rsidRPr="00BD75DF">
        <w:rPr>
          <w:rFonts w:hint="cs"/>
          <w:sz w:val="20"/>
          <w:szCs w:val="20"/>
          <w:rtl/>
        </w:rPr>
        <w:t>به نظر ما فرد مقدمه کلی و طبیعی نیست بلکه مصداق طبیعت و وجود کلی است.</w:t>
      </w:r>
    </w:p>
    <w:p w:rsidR="008A7975" w:rsidRPr="00BD75DF" w:rsidRDefault="008A7975" w:rsidP="008A7975">
      <w:pPr>
        <w:rPr>
          <w:sz w:val="20"/>
          <w:szCs w:val="20"/>
          <w:rtl/>
        </w:rPr>
      </w:pPr>
      <w:r w:rsidRPr="00BD75DF">
        <w:rPr>
          <w:rFonts w:hint="cs"/>
          <w:sz w:val="20"/>
          <w:szCs w:val="20"/>
          <w:rtl/>
        </w:rPr>
        <w:t>مرحوم سید یزدی برای جواز اجتماع پنج دلیل آورده است که در لابه‌لای مطالب قبلی گفته شد.</w:t>
      </w:r>
      <w:r w:rsidRPr="00BD75DF">
        <w:rPr>
          <w:sz w:val="20"/>
          <w:szCs w:val="20"/>
        </w:rPr>
        <w:t xml:space="preserve"> </w:t>
      </w:r>
      <w:r w:rsidRPr="00BD75DF">
        <w:rPr>
          <w:rFonts w:hint="cs"/>
          <w:sz w:val="20"/>
          <w:szCs w:val="20"/>
          <w:rtl/>
        </w:rPr>
        <w:t>تا اینجا تمت الکلام در اجتماع امرونهی.</w:t>
      </w:r>
    </w:p>
    <w:p w:rsidR="008A7975" w:rsidRPr="00BD75DF" w:rsidRDefault="008A7975" w:rsidP="008A7975">
      <w:pPr>
        <w:pStyle w:val="2"/>
        <w:rPr>
          <w:sz w:val="16"/>
          <w:szCs w:val="26"/>
          <w:rtl/>
        </w:rPr>
      </w:pPr>
      <w:r w:rsidRPr="00BD75DF">
        <w:rPr>
          <w:rFonts w:hint="cs"/>
          <w:sz w:val="16"/>
          <w:szCs w:val="26"/>
          <w:rtl/>
        </w:rPr>
        <w:t>خلاصه</w:t>
      </w:r>
    </w:p>
    <w:p w:rsidR="008A7975" w:rsidRPr="00BD75DF" w:rsidRDefault="008A7975" w:rsidP="008A7975">
      <w:pPr>
        <w:rPr>
          <w:sz w:val="20"/>
          <w:szCs w:val="20"/>
          <w:rtl/>
        </w:rPr>
      </w:pPr>
      <w:r w:rsidRPr="00BD75DF">
        <w:rPr>
          <w:sz w:val="20"/>
          <w:szCs w:val="20"/>
          <w:rtl/>
        </w:rPr>
        <w:t>مهم‌تر</w:t>
      </w:r>
      <w:r w:rsidRPr="00BD75DF">
        <w:rPr>
          <w:rFonts w:hint="cs"/>
          <w:sz w:val="20"/>
          <w:szCs w:val="20"/>
          <w:rtl/>
        </w:rPr>
        <w:t>ی</w:t>
      </w:r>
      <w:r w:rsidRPr="00BD75DF">
        <w:rPr>
          <w:rFonts w:hint="eastAsia"/>
          <w:sz w:val="20"/>
          <w:szCs w:val="20"/>
          <w:rtl/>
        </w:rPr>
        <w:t>ن</w:t>
      </w:r>
      <w:r w:rsidRPr="00BD75DF">
        <w:rPr>
          <w:rFonts w:hint="cs"/>
          <w:sz w:val="20"/>
          <w:szCs w:val="20"/>
          <w:rtl/>
        </w:rPr>
        <w:t xml:space="preserve"> تقریر از امتناع اجتماع امرونهی فرمایش صاحب کفایه بود که مرکب از چهار مقدمه بود. ما به‌طور مطلق قائل به جواز شدیم با همان شکل که تعدد عنوان را موجب تعدد معنون می</w:t>
      </w:r>
      <w:r w:rsidRPr="00BD75DF">
        <w:rPr>
          <w:sz w:val="20"/>
          <w:szCs w:val="20"/>
          <w:rtl/>
        </w:rPr>
        <w:softHyphen/>
      </w:r>
      <w:r w:rsidRPr="00BD75DF">
        <w:rPr>
          <w:rFonts w:hint="cs"/>
          <w:sz w:val="20"/>
          <w:szCs w:val="20"/>
          <w:rtl/>
        </w:rPr>
        <w:t>دانیم؛ البته درصورتی‌که رابطه دو مفهوم عموم و خصوص من وجه باشد</w:t>
      </w:r>
      <w:r w:rsidRPr="00BD75DF">
        <w:rPr>
          <w:sz w:val="20"/>
          <w:szCs w:val="20"/>
          <w:rtl/>
        </w:rPr>
        <w:t xml:space="preserve">؛ </w:t>
      </w:r>
      <w:r w:rsidRPr="00BD75DF">
        <w:rPr>
          <w:rFonts w:hint="cs"/>
          <w:sz w:val="20"/>
          <w:szCs w:val="20"/>
          <w:rtl/>
        </w:rPr>
        <w:t>اما در مورد عام مطلق (هر دو الزامی نباشد، بلکه امر الزامی و نهی تنزیهی باشد) قائل به اجتماع هستیم.</w:t>
      </w:r>
    </w:p>
    <w:p w:rsidR="008A7975" w:rsidRPr="00BD75DF" w:rsidRDefault="008A7975" w:rsidP="008A7975">
      <w:pPr>
        <w:pStyle w:val="1"/>
        <w:rPr>
          <w:sz w:val="16"/>
          <w:szCs w:val="26"/>
          <w:rtl/>
        </w:rPr>
      </w:pPr>
      <w:r w:rsidRPr="00BD75DF">
        <w:rPr>
          <w:rFonts w:hint="cs"/>
          <w:sz w:val="16"/>
          <w:szCs w:val="26"/>
          <w:rtl/>
        </w:rPr>
        <w:t>تنبیهات اجتماع</w:t>
      </w:r>
    </w:p>
    <w:p w:rsidR="008A7975" w:rsidRPr="00BD75DF" w:rsidRDefault="008A7975" w:rsidP="008A7975">
      <w:pPr>
        <w:pStyle w:val="2"/>
        <w:rPr>
          <w:sz w:val="16"/>
          <w:szCs w:val="26"/>
          <w:rtl/>
        </w:rPr>
      </w:pPr>
      <w:r w:rsidRPr="00BD75DF">
        <w:rPr>
          <w:rFonts w:hint="cs"/>
          <w:sz w:val="16"/>
          <w:szCs w:val="26"/>
          <w:rtl/>
        </w:rPr>
        <w:t>1</w:t>
      </w:r>
      <w:r w:rsidRPr="00BD75DF">
        <w:rPr>
          <w:sz w:val="16"/>
          <w:szCs w:val="26"/>
          <w:rtl/>
        </w:rPr>
        <w:t xml:space="preserve"> </w:t>
      </w:r>
      <w:r w:rsidRPr="00BD75DF">
        <w:rPr>
          <w:rFonts w:hint="eastAsia"/>
          <w:sz w:val="16"/>
          <w:szCs w:val="26"/>
          <w:rtl/>
        </w:rPr>
        <w:t>ـ</w:t>
      </w:r>
      <w:r w:rsidRPr="00BD75DF">
        <w:rPr>
          <w:rFonts w:hint="cs"/>
          <w:sz w:val="16"/>
          <w:szCs w:val="26"/>
          <w:rtl/>
        </w:rPr>
        <w:t xml:space="preserve"> ثمره بحث</w:t>
      </w:r>
    </w:p>
    <w:p w:rsidR="008A7975" w:rsidRPr="00BD75DF" w:rsidRDefault="008A7975" w:rsidP="008A7975">
      <w:pPr>
        <w:rPr>
          <w:sz w:val="20"/>
          <w:szCs w:val="20"/>
          <w:rtl/>
        </w:rPr>
      </w:pPr>
      <w:r w:rsidRPr="00BD75DF">
        <w:rPr>
          <w:rFonts w:hint="cs"/>
          <w:sz w:val="20"/>
          <w:szCs w:val="20"/>
          <w:rtl/>
        </w:rPr>
        <w:t>این بحث در کفایه به‌عنوان مقدمه دهم مطرح شده است.</w:t>
      </w:r>
      <w:r w:rsidRPr="00BD75DF">
        <w:rPr>
          <w:sz w:val="20"/>
          <w:szCs w:val="20"/>
          <w:rtl/>
        </w:rPr>
        <w:t xml:space="preserve"> </w:t>
      </w:r>
      <w:r w:rsidRPr="00BD75DF">
        <w:rPr>
          <w:rFonts w:hint="cs"/>
          <w:sz w:val="20"/>
          <w:szCs w:val="20"/>
          <w:rtl/>
        </w:rPr>
        <w:t>ثمره در حل کلیات واضح است؛</w:t>
      </w:r>
    </w:p>
    <w:p w:rsidR="008A7975" w:rsidRPr="00BD75DF" w:rsidRDefault="008A7975" w:rsidP="008A7975">
      <w:pPr>
        <w:pStyle w:val="3"/>
        <w:rPr>
          <w:sz w:val="10"/>
          <w:szCs w:val="22"/>
          <w:rtl/>
        </w:rPr>
      </w:pPr>
      <w:r w:rsidRPr="00BD75DF">
        <w:rPr>
          <w:rFonts w:hint="cs"/>
          <w:sz w:val="10"/>
          <w:szCs w:val="22"/>
          <w:rtl/>
        </w:rPr>
        <w:t>ثمره بحث در عبادات</w:t>
      </w:r>
    </w:p>
    <w:p w:rsidR="008A7975" w:rsidRPr="00BD75DF" w:rsidRDefault="008A7975" w:rsidP="008A7975">
      <w:pPr>
        <w:rPr>
          <w:sz w:val="20"/>
          <w:szCs w:val="20"/>
          <w:rtl/>
        </w:rPr>
      </w:pPr>
      <w:r w:rsidRPr="00BD75DF">
        <w:rPr>
          <w:rFonts w:hint="cs"/>
          <w:sz w:val="20"/>
          <w:szCs w:val="20"/>
          <w:rtl/>
        </w:rPr>
        <w:t xml:space="preserve">اگر قائل به جواز اجتماع امرونهی شدیم، عبادتی (در حال اختیار و </w:t>
      </w:r>
      <w:r w:rsidRPr="00BD75DF">
        <w:rPr>
          <w:sz w:val="20"/>
          <w:szCs w:val="20"/>
          <w:rtl/>
        </w:rPr>
        <w:t>عمداً</w:t>
      </w:r>
      <w:r w:rsidRPr="00BD75DF">
        <w:rPr>
          <w:rFonts w:hint="cs"/>
          <w:sz w:val="20"/>
          <w:szCs w:val="20"/>
          <w:rtl/>
        </w:rPr>
        <w:t>) که با نهی‌ای همراه شده باشد و همراه با آن انجام دهد، در ترکیب اتحادی یا انضمامی، عبادت صحیح است. در این فرض اطاعت و عصیان انجام شده است و هر دو صدق می</w:t>
      </w:r>
      <w:r w:rsidRPr="00BD75DF">
        <w:rPr>
          <w:rFonts w:hint="cs"/>
          <w:sz w:val="20"/>
          <w:szCs w:val="20"/>
          <w:rtl/>
        </w:rPr>
        <w:softHyphen/>
        <w:t>نماید.</w:t>
      </w:r>
    </w:p>
    <w:p w:rsidR="008A7975" w:rsidRPr="00BD75DF" w:rsidRDefault="008A7975" w:rsidP="008A7975">
      <w:pPr>
        <w:rPr>
          <w:sz w:val="20"/>
          <w:szCs w:val="20"/>
          <w:rtl/>
        </w:rPr>
      </w:pPr>
      <w:r w:rsidRPr="00BD75DF">
        <w:rPr>
          <w:rFonts w:hint="cs"/>
          <w:sz w:val="20"/>
          <w:szCs w:val="20"/>
          <w:rtl/>
        </w:rPr>
        <w:t>اگر امتناعی شدیم</w:t>
      </w:r>
      <w:r w:rsidRPr="00BD75DF">
        <w:rPr>
          <w:sz w:val="20"/>
          <w:szCs w:val="20"/>
          <w:rtl/>
        </w:rPr>
        <w:t xml:space="preserve"> </w:t>
      </w:r>
      <w:r w:rsidRPr="00BD75DF">
        <w:rPr>
          <w:rFonts w:hint="cs"/>
          <w:sz w:val="20"/>
          <w:szCs w:val="20"/>
          <w:rtl/>
        </w:rPr>
        <w:t>و جانب امر مقدم باشد، در این صورت عبادت درست است؛ در این فرض اطاعت شده و عصیان نشده است.</w:t>
      </w:r>
    </w:p>
    <w:p w:rsidR="008A7975" w:rsidRPr="00BD75DF" w:rsidRDefault="008A7975" w:rsidP="008A7975">
      <w:pPr>
        <w:rPr>
          <w:sz w:val="20"/>
          <w:szCs w:val="20"/>
          <w:rtl/>
        </w:rPr>
      </w:pPr>
      <w:r w:rsidRPr="00BD75DF">
        <w:rPr>
          <w:rFonts w:hint="cs"/>
          <w:sz w:val="20"/>
          <w:szCs w:val="20"/>
          <w:rtl/>
        </w:rPr>
        <w:t>اگر امتناعی شدیم و جانب نهی را مقدم بدانیم، عبادت باطل است زیرا امر ندارد و صحیح نیست؛ گناه محض است و غرضی را کشف نمی</w:t>
      </w:r>
      <w:r w:rsidRPr="00BD75DF">
        <w:rPr>
          <w:sz w:val="20"/>
          <w:szCs w:val="20"/>
          <w:rtl/>
        </w:rPr>
        <w:softHyphen/>
      </w:r>
      <w:r w:rsidRPr="00BD75DF">
        <w:rPr>
          <w:rFonts w:hint="cs"/>
          <w:sz w:val="20"/>
          <w:szCs w:val="20"/>
          <w:rtl/>
        </w:rPr>
        <w:t>توانیم بکینم.</w:t>
      </w:r>
    </w:p>
    <w:p w:rsidR="008A7975" w:rsidRPr="00BD75DF" w:rsidRDefault="008A7975" w:rsidP="008A7975">
      <w:pPr>
        <w:rPr>
          <w:sz w:val="20"/>
          <w:szCs w:val="20"/>
          <w:rtl/>
        </w:rPr>
      </w:pPr>
      <w:r w:rsidRPr="00BD75DF">
        <w:rPr>
          <w:rFonts w:hint="cs"/>
          <w:sz w:val="20"/>
          <w:szCs w:val="20"/>
          <w:rtl/>
        </w:rPr>
        <w:t>همین سه حالت در توصلیات نیز مطرح است:</w:t>
      </w:r>
    </w:p>
    <w:p w:rsidR="008A7975" w:rsidRPr="00BD75DF" w:rsidRDefault="008A7975" w:rsidP="008A7975">
      <w:pPr>
        <w:pStyle w:val="aff"/>
        <w:rPr>
          <w:rFonts w:cs="2  Badr"/>
          <w:color w:val="000000"/>
          <w:sz w:val="20"/>
          <w:szCs w:val="20"/>
          <w:rtl/>
        </w:rPr>
      </w:pPr>
      <w:r w:rsidRPr="00BD75DF">
        <w:rPr>
          <w:rFonts w:cs="2  Badr" w:hint="cs"/>
          <w:color w:val="000000"/>
          <w:sz w:val="16"/>
          <w:szCs w:val="16"/>
          <w:rtl/>
        </w:rPr>
        <w:t>1</w:t>
      </w:r>
      <w:r w:rsidRPr="00BD75DF">
        <w:rPr>
          <w:rFonts w:cs="2  Badr"/>
          <w:color w:val="000000"/>
          <w:sz w:val="16"/>
          <w:szCs w:val="16"/>
          <w:rtl/>
        </w:rPr>
        <w:t xml:space="preserve"> </w:t>
      </w:r>
      <w:r w:rsidRPr="00BD75DF">
        <w:rPr>
          <w:rFonts w:cs="2  Badr"/>
          <w:color w:val="000000"/>
          <w:sz w:val="20"/>
          <w:szCs w:val="20"/>
          <w:rtl/>
        </w:rPr>
        <w:t>ـ</w:t>
      </w:r>
      <w:r w:rsidRPr="00BD75DF">
        <w:rPr>
          <w:rFonts w:cs="2  Badr" w:hint="cs"/>
          <w:color w:val="000000"/>
          <w:sz w:val="20"/>
          <w:szCs w:val="20"/>
          <w:rtl/>
        </w:rPr>
        <w:t xml:space="preserve"> اگر اجتماعی شویم، کار توصلی (لباس و عصب)، می</w:t>
      </w:r>
      <w:r w:rsidRPr="00BD75DF">
        <w:rPr>
          <w:rFonts w:cs="2  Badr"/>
          <w:color w:val="000000"/>
          <w:sz w:val="20"/>
          <w:szCs w:val="20"/>
          <w:rtl/>
        </w:rPr>
        <w:softHyphen/>
      </w:r>
      <w:r w:rsidRPr="00BD75DF">
        <w:rPr>
          <w:rFonts w:cs="2  Badr" w:hint="cs"/>
          <w:color w:val="000000"/>
          <w:sz w:val="20"/>
          <w:szCs w:val="20"/>
          <w:rtl/>
        </w:rPr>
        <w:t>تواند قصد قربت نیز بکند و فرد مطیع و عاصی است.</w:t>
      </w:r>
    </w:p>
    <w:p w:rsidR="008A7975" w:rsidRPr="00BD75DF" w:rsidRDefault="008A7975" w:rsidP="008A7975">
      <w:pPr>
        <w:pStyle w:val="aff"/>
        <w:rPr>
          <w:rFonts w:cs="2  Badr"/>
          <w:color w:val="000000"/>
          <w:sz w:val="20"/>
          <w:szCs w:val="20"/>
          <w:rtl/>
        </w:rPr>
      </w:pPr>
      <w:r w:rsidRPr="00BD75DF">
        <w:rPr>
          <w:rFonts w:cs="2  Badr" w:hint="cs"/>
          <w:color w:val="000000"/>
          <w:sz w:val="20"/>
          <w:szCs w:val="20"/>
          <w:rtl/>
        </w:rPr>
        <w:t>2</w:t>
      </w:r>
      <w:r w:rsidRPr="00BD75DF">
        <w:rPr>
          <w:rFonts w:cs="2  Badr"/>
          <w:color w:val="000000"/>
          <w:sz w:val="20"/>
          <w:szCs w:val="20"/>
          <w:rtl/>
        </w:rPr>
        <w:t xml:space="preserve"> ـ</w:t>
      </w:r>
      <w:r w:rsidRPr="00BD75DF">
        <w:rPr>
          <w:rFonts w:cs="2  Badr" w:hint="cs"/>
          <w:color w:val="000000"/>
          <w:sz w:val="20"/>
          <w:szCs w:val="20"/>
          <w:rtl/>
        </w:rPr>
        <w:t xml:space="preserve"> اگر ما امتناعی شدیم و جانب امر را متقدم بدانیم، اطاعت انجام شده است.</w:t>
      </w:r>
    </w:p>
    <w:p w:rsidR="008A7975" w:rsidRPr="00BD75DF" w:rsidRDefault="008A7975" w:rsidP="008A7975">
      <w:pPr>
        <w:pStyle w:val="aff"/>
        <w:rPr>
          <w:rFonts w:cs="2  Badr"/>
          <w:color w:val="000000"/>
          <w:sz w:val="20"/>
          <w:szCs w:val="20"/>
          <w:rtl/>
        </w:rPr>
      </w:pPr>
      <w:r w:rsidRPr="00BD75DF">
        <w:rPr>
          <w:rFonts w:cs="2  Badr" w:hint="cs"/>
          <w:color w:val="000000"/>
          <w:sz w:val="20"/>
          <w:szCs w:val="20"/>
          <w:rtl/>
        </w:rPr>
        <w:t>3</w:t>
      </w:r>
      <w:r w:rsidRPr="00BD75DF">
        <w:rPr>
          <w:rFonts w:cs="2  Badr"/>
          <w:color w:val="000000"/>
          <w:sz w:val="20"/>
          <w:szCs w:val="20"/>
          <w:rtl/>
        </w:rPr>
        <w:t xml:space="preserve"> ـ</w:t>
      </w:r>
      <w:r w:rsidRPr="00BD75DF">
        <w:rPr>
          <w:rFonts w:cs="2  Badr" w:hint="cs"/>
          <w:color w:val="000000"/>
          <w:sz w:val="20"/>
          <w:szCs w:val="20"/>
          <w:rtl/>
        </w:rPr>
        <w:t xml:space="preserve"> اگر امتناعی باشیم</w:t>
      </w:r>
      <w:r w:rsidRPr="00BD75DF">
        <w:rPr>
          <w:rFonts w:cs="2  Badr"/>
          <w:color w:val="000000"/>
          <w:sz w:val="20"/>
          <w:szCs w:val="20"/>
          <w:rtl/>
        </w:rPr>
        <w:t xml:space="preserve"> </w:t>
      </w:r>
      <w:r w:rsidRPr="00BD75DF">
        <w:rPr>
          <w:rFonts w:cs="2  Badr" w:hint="cs"/>
          <w:color w:val="000000"/>
          <w:sz w:val="20"/>
          <w:szCs w:val="20"/>
          <w:rtl/>
        </w:rPr>
        <w:t>و قائل به تقدم جانب نهی باشیم، در این حالت تفاوت بین توصلیات با عبادات وجود دارد؛ غرض مولا در این مورد حاصل شده است. گناه و عصیان انجام شده است اما غرض مولا حاصل شده است.</w:t>
      </w:r>
    </w:p>
    <w:p w:rsidR="00152670" w:rsidRPr="008A7975" w:rsidRDefault="008A7975" w:rsidP="008A7975">
      <w:pPr>
        <w:pStyle w:val="aff"/>
        <w:rPr>
          <w:rFonts w:cs="2  Badr"/>
          <w:color w:val="000000"/>
          <w:sz w:val="20"/>
          <w:szCs w:val="20"/>
        </w:rPr>
      </w:pPr>
      <w:r w:rsidRPr="00BD75DF">
        <w:rPr>
          <w:rFonts w:cs="2  Badr" w:hint="cs"/>
          <w:color w:val="000000"/>
          <w:sz w:val="20"/>
          <w:szCs w:val="20"/>
          <w:rtl/>
        </w:rPr>
        <w:t>فرض سوم توصلی نکته‌ای دارد که در جلسه بعد عرض خواهیم نمود.</w:t>
      </w:r>
    </w:p>
    <w:sectPr w:rsidR="00152670" w:rsidRPr="008A7975"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5C" w:rsidRDefault="0006025C" w:rsidP="00E83C2C">
      <w:pPr>
        <w:spacing w:after="0"/>
      </w:pPr>
      <w:r>
        <w:separator/>
      </w:r>
    </w:p>
  </w:endnote>
  <w:endnote w:type="continuationSeparator" w:id="0">
    <w:p w:rsidR="0006025C" w:rsidRDefault="0006025C"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E64C6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5C" w:rsidRDefault="0006025C" w:rsidP="00E83C2C">
      <w:pPr>
        <w:spacing w:after="0"/>
      </w:pPr>
      <w:r>
        <w:separator/>
      </w:r>
    </w:p>
  </w:footnote>
  <w:footnote w:type="continuationSeparator" w:id="0">
    <w:p w:rsidR="0006025C" w:rsidRDefault="0006025C"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010C78">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8240" behindDoc="0" locked="0" layoutInCell="1" allowOverlap="1" wp14:anchorId="373BA40B" wp14:editId="061110C4">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2372"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1646C5">
      <w:rPr>
        <w:rFonts w:ascii="Adobe Arabic" w:hAnsi="Adobe Arabic" w:cs="Adobe Arabic"/>
        <w:b/>
        <w:bCs/>
        <w:sz w:val="28"/>
        <w:szCs w:val="28"/>
        <w:rtl/>
      </w:rPr>
      <w:t>عنوان اصلی:</w:t>
    </w:r>
    <w:r w:rsidR="00BE6879">
      <w:rPr>
        <w:rFonts w:ascii="Adobe Arabic" w:hAnsi="Adobe Arabic" w:cs="Adobe Arabic" w:hint="cs"/>
        <w:sz w:val="28"/>
        <w:szCs w:val="28"/>
        <w:rtl/>
      </w:rPr>
      <w:t xml:space="preserve"> </w:t>
    </w:r>
    <w:r w:rsidR="00010C78">
      <w:rPr>
        <w:rFonts w:ascii="Adobe Arabic" w:hAnsi="Adobe Arabic" w:cs="Adobe Arabic" w:hint="cs"/>
        <w:sz w:val="28"/>
        <w:szCs w:val="28"/>
        <w:rtl/>
      </w:rPr>
      <w:t xml:space="preserve">اجتماع امر و نهی                </w:t>
    </w:r>
    <w:r w:rsidR="00BE6879">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BE6879">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74232A" w:rsidRPr="001646C5">
      <w:rPr>
        <w:rFonts w:ascii="Adobe Arabic" w:hAnsi="Adobe Arabic" w:cs="Adobe Arabic"/>
        <w:b/>
        <w:bCs/>
        <w:sz w:val="28"/>
        <w:szCs w:val="28"/>
        <w:rtl/>
      </w:rPr>
      <w:t>تاریخ جلسه:</w:t>
    </w:r>
    <w:r w:rsidR="0074232A" w:rsidRPr="00C277D3">
      <w:rPr>
        <w:rFonts w:ascii="Adobe Arabic" w:hAnsi="Adobe Arabic" w:cs="Adobe Arabic"/>
        <w:sz w:val="28"/>
        <w:szCs w:val="28"/>
        <w:rtl/>
      </w:rPr>
      <w:t xml:space="preserve"> </w:t>
    </w:r>
    <w:r w:rsidR="00BE6879">
      <w:rPr>
        <w:rFonts w:ascii="Adobe Arabic" w:hAnsi="Adobe Arabic" w:cs="Adobe Arabic" w:hint="cs"/>
        <w:sz w:val="28"/>
        <w:szCs w:val="28"/>
        <w:rtl/>
      </w:rPr>
      <w:t>26/08/1393</w:t>
    </w:r>
  </w:p>
  <w:p w:rsidR="0043035D" w:rsidRPr="00B46EB8" w:rsidRDefault="00B46EB8" w:rsidP="00A53182">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1646C5">
      <w:rPr>
        <w:rFonts w:ascii="Adobe Arabic" w:hAnsi="Adobe Arabic" w:cs="Adobe Arabic"/>
        <w:b/>
        <w:bCs/>
        <w:sz w:val="28"/>
        <w:szCs w:val="28"/>
        <w:rtl/>
      </w:rPr>
      <w:t>عنوان فرعی:</w:t>
    </w:r>
    <w:r w:rsidR="0074232A" w:rsidRPr="00C277D3">
      <w:rPr>
        <w:rFonts w:ascii="Adobe Arabic" w:hAnsi="Adobe Arabic" w:cs="Adobe Arabic"/>
        <w:sz w:val="28"/>
        <w:szCs w:val="28"/>
        <w:rtl/>
      </w:rPr>
      <w:t xml:space="preserve"> </w:t>
    </w:r>
    <w:r w:rsidR="00A53182">
      <w:rPr>
        <w:rFonts w:ascii="Adobe Arabic" w:hAnsi="Adobe Arabic" w:cs="Adobe Arabic" w:hint="cs"/>
        <w:sz w:val="28"/>
        <w:szCs w:val="28"/>
        <w:rtl/>
      </w:rPr>
      <w:t>ادله جواز اجتماع</w:t>
    </w:r>
    <w:r w:rsidR="0074232A" w:rsidRPr="00C277D3">
      <w:rPr>
        <w:rFonts w:ascii="Adobe Arabic" w:hAnsi="Adobe Arabic" w:cs="Adobe Arabic"/>
        <w:sz w:val="28"/>
        <w:szCs w:val="28"/>
        <w:rtl/>
      </w:rPr>
      <w:t xml:space="preserve">              </w:t>
    </w:r>
    <w:r w:rsidR="00A53182">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E64C62">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74232A" w:rsidRPr="001646C5">
      <w:rPr>
        <w:rFonts w:ascii="Adobe Arabic" w:hAnsi="Adobe Arabic" w:cs="Adobe Arabic"/>
        <w:b/>
        <w:bCs/>
        <w:sz w:val="28"/>
        <w:szCs w:val="28"/>
        <w:rtl/>
      </w:rPr>
      <w:t>شماره جلسه:</w:t>
    </w:r>
    <w:r w:rsidR="005621EA">
      <w:rPr>
        <w:rFonts w:ascii="Adobe Arabic" w:hAnsi="Adobe Arabic" w:cs="Adobe Arabic" w:hint="cs"/>
        <w:b/>
        <w:bCs/>
        <w:sz w:val="28"/>
        <w:szCs w:val="28"/>
        <w:rtl/>
      </w:rPr>
      <w:t xml:space="preserve"> 24</w:t>
    </w:r>
  </w:p>
  <w:p w:rsidR="000D5800" w:rsidRPr="00F52F75" w:rsidRDefault="0006025C" w:rsidP="0043035D">
    <w:pPr>
      <w:tabs>
        <w:tab w:val="left" w:pos="3757"/>
      </w:tabs>
      <w:spacing w:after="0"/>
      <w:jc w:val="left"/>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97"/>
    <w:rsid w:val="00010C78"/>
    <w:rsid w:val="000324F1"/>
    <w:rsid w:val="00052BA3"/>
    <w:rsid w:val="0006025C"/>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646C5"/>
    <w:rsid w:val="00166DD8"/>
    <w:rsid w:val="001712D6"/>
    <w:rsid w:val="001757C8"/>
    <w:rsid w:val="00177934"/>
    <w:rsid w:val="00192A6A"/>
    <w:rsid w:val="00197CDD"/>
    <w:rsid w:val="001C2FB1"/>
    <w:rsid w:val="001C367D"/>
    <w:rsid w:val="001D24F8"/>
    <w:rsid w:val="001E306E"/>
    <w:rsid w:val="001E3FB0"/>
    <w:rsid w:val="001E4FFF"/>
    <w:rsid w:val="001F0631"/>
    <w:rsid w:val="001F2E3E"/>
    <w:rsid w:val="00224C0A"/>
    <w:rsid w:val="002376A5"/>
    <w:rsid w:val="002417C9"/>
    <w:rsid w:val="002529C5"/>
    <w:rsid w:val="00254925"/>
    <w:rsid w:val="00270294"/>
    <w:rsid w:val="002914BD"/>
    <w:rsid w:val="00297263"/>
    <w:rsid w:val="002A593D"/>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621EA"/>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C7F97"/>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A7975"/>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21834"/>
    <w:rsid w:val="00A31C17"/>
    <w:rsid w:val="00A31FDE"/>
    <w:rsid w:val="00A35AC2"/>
    <w:rsid w:val="00A37C77"/>
    <w:rsid w:val="00A53182"/>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A2D01"/>
    <w:rsid w:val="00BB5F7E"/>
    <w:rsid w:val="00BD3122"/>
    <w:rsid w:val="00BD40DA"/>
    <w:rsid w:val="00BE6879"/>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6EFA"/>
    <w:rsid w:val="00DD71A2"/>
    <w:rsid w:val="00E0639C"/>
    <w:rsid w:val="00E067E6"/>
    <w:rsid w:val="00E12531"/>
    <w:rsid w:val="00E143B0"/>
    <w:rsid w:val="00E55891"/>
    <w:rsid w:val="00E6283A"/>
    <w:rsid w:val="00E64C62"/>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120C3-87F8-4BED-9EB8-414ABA40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8A7975"/>
    <w:pPr>
      <w:bidi/>
      <w:spacing w:after="120"/>
      <w:ind w:firstLine="284"/>
      <w:contextualSpacing/>
      <w:jc w:val="both"/>
    </w:pPr>
    <w:rPr>
      <w:rFonts w:eastAsia="Calibri" w:cs="2  Badr"/>
      <w:sz w:val="22"/>
      <w:szCs w:val="22"/>
    </w:rPr>
  </w:style>
  <w:style w:type="paragraph" w:styleId="1">
    <w:name w:val="heading 1"/>
    <w:aliases w:val="سرفصل1,سرفصل 1"/>
    <w:basedOn w:val="a"/>
    <w:next w:val="a"/>
    <w:link w:val="10"/>
    <w:autoRedefine/>
    <w:uiPriority w:val="9"/>
    <w:qFormat/>
    <w:rsid w:val="00E83C2C"/>
    <w:pPr>
      <w:keepNext/>
      <w:keepLines/>
      <w:spacing w:after="0"/>
      <w:ind w:firstLine="0"/>
      <w:jc w:val="left"/>
      <w:outlineLvl w:val="0"/>
    </w:pPr>
    <w:rPr>
      <w:rFonts w:ascii="Cambria" w:eastAsia="2  Lotus" w:hAnsi="Cambria"/>
      <w:bCs/>
      <w:sz w:val="28"/>
      <w:szCs w:val="30"/>
    </w:rPr>
  </w:style>
  <w:style w:type="paragraph" w:styleId="2">
    <w:name w:val="heading 2"/>
    <w:aliases w:val="سرفصل2,سرفصل 2"/>
    <w:basedOn w:val="a"/>
    <w:next w:val="a"/>
    <w:link w:val="20"/>
    <w:autoRedefine/>
    <w:uiPriority w:val="9"/>
    <w:unhideWhenUsed/>
    <w:qFormat/>
    <w:rsid w:val="00E83C2C"/>
    <w:pPr>
      <w:keepNext/>
      <w:keepLines/>
      <w:spacing w:before="340" w:after="0"/>
      <w:ind w:firstLine="0"/>
      <w:outlineLvl w:val="1"/>
    </w:pPr>
    <w:rPr>
      <w:rFonts w:ascii="Cambria" w:eastAsia="2  Lotus" w:hAnsi="Cambria"/>
      <w:bCs/>
      <w:sz w:val="26"/>
      <w:szCs w:val="28"/>
    </w:rPr>
  </w:style>
  <w:style w:type="paragraph" w:styleId="3">
    <w:name w:val="heading 3"/>
    <w:aliases w:val="سرفصل3,سرفصل 3"/>
    <w:basedOn w:val="a"/>
    <w:next w:val="a"/>
    <w:link w:val="30"/>
    <w:autoRedefine/>
    <w:uiPriority w:val="9"/>
    <w:unhideWhenUsed/>
    <w:qFormat/>
    <w:rsid w:val="00E83C2C"/>
    <w:pPr>
      <w:keepNext/>
      <w:keepLines/>
      <w:spacing w:before="280" w:after="0"/>
      <w:ind w:firstLine="0"/>
      <w:outlineLvl w:val="2"/>
    </w:pPr>
    <w:rPr>
      <w:rFonts w:ascii="Cambria" w:eastAsia="2  Lotus" w:hAnsi="Cambria"/>
      <w:bCs/>
      <w:sz w:val="20"/>
      <w:szCs w:val="26"/>
    </w:rPr>
  </w:style>
  <w:style w:type="paragraph" w:styleId="4">
    <w:name w:val="heading 4"/>
    <w:aliases w:val="سرفصل4,سرفصل 4"/>
    <w:basedOn w:val="a0"/>
    <w:next w:val="a"/>
    <w:link w:val="40"/>
    <w:autoRedefine/>
    <w:uiPriority w:val="9"/>
    <w:unhideWhenUsed/>
    <w:qFormat/>
    <w:rsid w:val="00E83C2C"/>
    <w:pPr>
      <w:outlineLvl w:val="3"/>
    </w:pPr>
    <w:rPr>
      <w:bCs/>
      <w:szCs w:val="36"/>
    </w:rPr>
  </w:style>
  <w:style w:type="paragraph" w:styleId="5">
    <w:name w:val="heading 5"/>
    <w:basedOn w:val="a"/>
    <w:next w:val="a"/>
    <w:link w:val="50"/>
    <w:autoRedefine/>
    <w:uiPriority w:val="9"/>
    <w:unhideWhenUsed/>
    <w:qFormat/>
    <w:rsid w:val="00E83C2C"/>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E83C2C"/>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E83C2C"/>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E83C2C"/>
    <w:pPr>
      <w:keepNext/>
      <w:keepLines/>
      <w:spacing w:before="120" w:after="0"/>
      <w:ind w:firstLine="0"/>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E83C2C"/>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83C2C"/>
    <w:rPr>
      <w:rFonts w:ascii="Cambria" w:eastAsia="2  Lotus" w:hAnsi="Cambria" w:cs="2  Badr"/>
      <w:bCs/>
      <w:sz w:val="28"/>
      <w:szCs w:val="30"/>
    </w:rPr>
  </w:style>
  <w:style w:type="character" w:customStyle="1" w:styleId="20">
    <w:name w:val="عنوان 2 نویسه"/>
    <w:aliases w:val="سرفصل2 نویسه,سرفصل 2 نویسه"/>
    <w:link w:val="2"/>
    <w:uiPriority w:val="9"/>
    <w:rsid w:val="00E83C2C"/>
    <w:rPr>
      <w:rFonts w:ascii="Cambria" w:eastAsia="2  Lotus" w:hAnsi="Cambria" w:cs="2  Badr"/>
      <w:bCs/>
      <w:sz w:val="26"/>
      <w:szCs w:val="28"/>
    </w:rPr>
  </w:style>
  <w:style w:type="character" w:customStyle="1" w:styleId="30">
    <w:name w:val="عنوان 3 نویسه"/>
    <w:aliases w:val="سرفصل3 نویسه,سرفصل 3 نویسه"/>
    <w:link w:val="3"/>
    <w:uiPriority w:val="9"/>
    <w:rsid w:val="00E83C2C"/>
    <w:rPr>
      <w:rFonts w:ascii="Cambria" w:eastAsia="2  Lotus" w:hAnsi="Cambria" w:cs="2  Badr"/>
      <w:bCs/>
      <w:szCs w:val="26"/>
    </w:rPr>
  </w:style>
  <w:style w:type="character" w:customStyle="1" w:styleId="40">
    <w:name w:val="عنوان 4 نویسه"/>
    <w:aliases w:val="سرفصل4 نویسه,سرفصل 4 نویسه"/>
    <w:link w:val="4"/>
    <w:uiPriority w:val="9"/>
    <w:rsid w:val="00E83C2C"/>
    <w:rPr>
      <w:rFonts w:eastAsia="2  Lotus" w:cs="2  Badr"/>
      <w:bCs/>
      <w:sz w:val="72"/>
      <w:szCs w:val="36"/>
    </w:rPr>
  </w:style>
  <w:style w:type="character" w:customStyle="1" w:styleId="50">
    <w:name w:val="سرصفحه 5 نویسه"/>
    <w:link w:val="5"/>
    <w:uiPriority w:val="9"/>
    <w:rsid w:val="00E83C2C"/>
    <w:rPr>
      <w:rFonts w:ascii="Cambria" w:eastAsia="2  Lotus" w:hAnsi="Cambria" w:cs="2  Badr"/>
      <w:bCs/>
      <w:szCs w:val="36"/>
    </w:rPr>
  </w:style>
  <w:style w:type="paragraph" w:styleId="11">
    <w:name w:val="toc 1"/>
    <w:basedOn w:val="a"/>
    <w:next w:val="a"/>
    <w:autoRedefine/>
    <w:uiPriority w:val="39"/>
    <w:unhideWhenUsed/>
    <w:qFormat/>
    <w:rsid w:val="00E83C2C"/>
    <w:pPr>
      <w:spacing w:after="0"/>
      <w:ind w:firstLine="0"/>
    </w:pPr>
    <w:rPr>
      <w:rFonts w:eastAsiaTheme="minorEastAsia"/>
    </w:rPr>
  </w:style>
  <w:style w:type="paragraph" w:styleId="21">
    <w:name w:val="toc 2"/>
    <w:basedOn w:val="a"/>
    <w:next w:val="a"/>
    <w:autoRedefine/>
    <w:uiPriority w:val="39"/>
    <w:unhideWhenUsed/>
    <w:qFormat/>
    <w:rsid w:val="00E83C2C"/>
    <w:pPr>
      <w:spacing w:after="0"/>
      <w:ind w:left="221"/>
    </w:pPr>
    <w:rPr>
      <w:rFonts w:eastAsiaTheme="minorEastAsia"/>
    </w:rPr>
  </w:style>
  <w:style w:type="paragraph" w:styleId="31">
    <w:name w:val="toc 3"/>
    <w:basedOn w:val="a"/>
    <w:next w:val="a"/>
    <w:autoRedefine/>
    <w:uiPriority w:val="39"/>
    <w:unhideWhenUsed/>
    <w:qFormat/>
    <w:rsid w:val="00E83C2C"/>
    <w:pPr>
      <w:spacing w:after="0"/>
      <w:ind w:left="442"/>
    </w:pPr>
    <w:rPr>
      <w:rFonts w:eastAsia="2  Lotus"/>
    </w:rPr>
  </w:style>
  <w:style w:type="character" w:styleId="a5">
    <w:name w:val="Subtle Reference"/>
    <w:aliases w:val="مرجع"/>
    <w:uiPriority w:val="31"/>
    <w:qFormat/>
    <w:rsid w:val="00E83C2C"/>
    <w:rPr>
      <w:rFonts w:cs="2  Lotus"/>
      <w:smallCaps/>
      <w:color w:val="auto"/>
      <w:szCs w:val="28"/>
      <w:u w:val="single"/>
    </w:rPr>
  </w:style>
  <w:style w:type="character" w:styleId="a6">
    <w:name w:val="Intense Reference"/>
    <w:uiPriority w:val="32"/>
    <w:qFormat/>
    <w:rsid w:val="00E83C2C"/>
    <w:rPr>
      <w:rFonts w:cs="2  Lotus"/>
      <w:b/>
      <w:bCs/>
      <w:smallCaps/>
      <w:color w:val="auto"/>
      <w:spacing w:val="5"/>
      <w:szCs w:val="28"/>
      <w:u w:val="single"/>
    </w:rPr>
  </w:style>
  <w:style w:type="character" w:styleId="a7">
    <w:name w:val="Book Title"/>
    <w:uiPriority w:val="33"/>
    <w:qFormat/>
    <w:rsid w:val="00E83C2C"/>
    <w:rPr>
      <w:rFonts w:cs="2  Titr"/>
      <w:b/>
      <w:bCs/>
      <w:smallCaps/>
      <w:spacing w:val="5"/>
      <w:szCs w:val="100"/>
    </w:rPr>
  </w:style>
  <w:style w:type="paragraph" w:styleId="a8">
    <w:name w:val="TOC Heading"/>
    <w:basedOn w:val="1"/>
    <w:next w:val="a"/>
    <w:uiPriority w:val="39"/>
    <w:semiHidden/>
    <w:unhideWhenUsed/>
    <w:qFormat/>
    <w:rsid w:val="00E83C2C"/>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E83C2C"/>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E83C2C"/>
    <w:rPr>
      <w:rFonts w:ascii="Cambria" w:eastAsia="2  Lotus" w:hAnsi="Cambria" w:cs="2  Badr"/>
      <w:bCs/>
      <w:i/>
      <w:szCs w:val="34"/>
    </w:rPr>
  </w:style>
  <w:style w:type="character" w:customStyle="1" w:styleId="70">
    <w:name w:val="سرصفحه 7 نویسه"/>
    <w:link w:val="7"/>
    <w:uiPriority w:val="9"/>
    <w:semiHidden/>
    <w:rsid w:val="00E83C2C"/>
    <w:rPr>
      <w:rFonts w:ascii="Cambria" w:eastAsia="Calibri" w:hAnsi="Cambria" w:cs="2  Badr"/>
      <w:bCs/>
      <w:i/>
      <w:szCs w:val="32"/>
    </w:rPr>
  </w:style>
  <w:style w:type="character" w:customStyle="1" w:styleId="80">
    <w:name w:val="سرصفحه 8 نویسه"/>
    <w:aliases w:val="سرمتن نویسه,احادیث و آیات پاورقی نویسه"/>
    <w:link w:val="8"/>
    <w:uiPriority w:val="9"/>
    <w:semiHidden/>
    <w:rsid w:val="00E83C2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E83C2C"/>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E83C2C"/>
    <w:pPr>
      <w:spacing w:after="0"/>
      <w:ind w:left="658"/>
    </w:pPr>
  </w:style>
  <w:style w:type="paragraph" w:styleId="51">
    <w:name w:val="toc 5"/>
    <w:basedOn w:val="a"/>
    <w:next w:val="a"/>
    <w:autoRedefine/>
    <w:uiPriority w:val="39"/>
    <w:semiHidden/>
    <w:unhideWhenUsed/>
    <w:qFormat/>
    <w:rsid w:val="00E83C2C"/>
    <w:pPr>
      <w:spacing w:after="0"/>
      <w:ind w:left="879"/>
    </w:pPr>
  </w:style>
  <w:style w:type="paragraph" w:styleId="61">
    <w:name w:val="toc 6"/>
    <w:basedOn w:val="a"/>
    <w:next w:val="a"/>
    <w:autoRedefine/>
    <w:uiPriority w:val="39"/>
    <w:semiHidden/>
    <w:unhideWhenUsed/>
    <w:qFormat/>
    <w:rsid w:val="00E83C2C"/>
    <w:pPr>
      <w:spacing w:after="0"/>
      <w:ind w:left="1100"/>
    </w:pPr>
  </w:style>
  <w:style w:type="paragraph" w:styleId="71">
    <w:name w:val="toc 7"/>
    <w:basedOn w:val="a"/>
    <w:next w:val="a"/>
    <w:autoRedefine/>
    <w:uiPriority w:val="39"/>
    <w:semiHidden/>
    <w:unhideWhenUsed/>
    <w:qFormat/>
    <w:rsid w:val="00E83C2C"/>
    <w:pPr>
      <w:spacing w:after="0"/>
      <w:ind w:left="1321"/>
    </w:pPr>
  </w:style>
  <w:style w:type="paragraph" w:styleId="ab">
    <w:name w:val="caption"/>
    <w:basedOn w:val="a"/>
    <w:next w:val="a"/>
    <w:uiPriority w:val="35"/>
    <w:semiHidden/>
    <w:unhideWhenUsed/>
    <w:qFormat/>
    <w:rsid w:val="00E83C2C"/>
    <w:rPr>
      <w:b/>
      <w:bCs/>
      <w:sz w:val="20"/>
      <w:szCs w:val="20"/>
    </w:rPr>
  </w:style>
  <w:style w:type="paragraph" w:styleId="ac">
    <w:name w:val="Title"/>
    <w:aliases w:val="سرفصل 5"/>
    <w:basedOn w:val="a"/>
    <w:next w:val="a"/>
    <w:link w:val="ad"/>
    <w:autoRedefine/>
    <w:uiPriority w:val="10"/>
    <w:qFormat/>
    <w:rsid w:val="00E83C2C"/>
    <w:pPr>
      <w:spacing w:after="400"/>
      <w:ind w:firstLine="0"/>
      <w:jc w:val="left"/>
    </w:pPr>
    <w:rPr>
      <w:rFonts w:ascii="Cambria" w:eastAsia="2  Baran" w:hAnsi="Cambria"/>
      <w:bCs/>
      <w:spacing w:val="5"/>
      <w:kern w:val="28"/>
      <w:sz w:val="52"/>
      <w:szCs w:val="32"/>
    </w:rPr>
  </w:style>
  <w:style w:type="character" w:customStyle="1" w:styleId="ad">
    <w:name w:val="عنوان نویسه"/>
    <w:aliases w:val="سرفصل 5 نویسه"/>
    <w:link w:val="ac"/>
    <w:uiPriority w:val="10"/>
    <w:rsid w:val="00E83C2C"/>
    <w:rPr>
      <w:rFonts w:ascii="Cambria" w:eastAsia="2  Baran" w:hAnsi="Cambria" w:cs="2  Badr"/>
      <w:bCs/>
      <w:spacing w:val="5"/>
      <w:kern w:val="28"/>
      <w:sz w:val="52"/>
      <w:szCs w:val="32"/>
    </w:rPr>
  </w:style>
  <w:style w:type="paragraph" w:styleId="ae">
    <w:name w:val="Subtitle"/>
    <w:aliases w:val="پاورقي"/>
    <w:basedOn w:val="a"/>
    <w:next w:val="a"/>
    <w:link w:val="af"/>
    <w:autoRedefine/>
    <w:uiPriority w:val="11"/>
    <w:qFormat/>
    <w:rsid w:val="00E83C2C"/>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E83C2C"/>
    <w:rPr>
      <w:rFonts w:ascii="Cambria" w:eastAsia="2  Badr" w:hAnsi="Cambria" w:cs="Karim"/>
      <w:i/>
      <w:spacing w:val="15"/>
      <w:sz w:val="24"/>
      <w:szCs w:val="60"/>
    </w:rPr>
  </w:style>
  <w:style w:type="character" w:styleId="af0">
    <w:name w:val="Emphasis"/>
    <w:uiPriority w:val="20"/>
    <w:qFormat/>
    <w:rsid w:val="00E83C2C"/>
    <w:rPr>
      <w:rFonts w:cs="2  Lotus"/>
      <w:i/>
      <w:iCs/>
      <w:color w:val="808080"/>
      <w:szCs w:val="32"/>
    </w:rPr>
  </w:style>
  <w:style w:type="character" w:customStyle="1" w:styleId="a9">
    <w:name w:val="بی فاصله نویسه"/>
    <w:aliases w:val="متن عربي نویسه"/>
    <w:link w:val="a0"/>
    <w:uiPriority w:val="1"/>
    <w:rsid w:val="00E83C2C"/>
    <w:rPr>
      <w:rFonts w:eastAsia="2  Lotus" w:cs="2  Badr"/>
      <w:sz w:val="72"/>
      <w:szCs w:val="32"/>
    </w:rPr>
  </w:style>
  <w:style w:type="paragraph" w:styleId="af1">
    <w:name w:val="List Paragraph"/>
    <w:basedOn w:val="a"/>
    <w:link w:val="af2"/>
    <w:autoRedefine/>
    <w:uiPriority w:val="34"/>
    <w:qFormat/>
    <w:rsid w:val="00E83C2C"/>
    <w:pPr>
      <w:ind w:left="1134" w:firstLine="0"/>
    </w:pPr>
    <w:rPr>
      <w:rFonts w:eastAsia="2  Lotus" w:cs="2  Lotus"/>
      <w:szCs w:val="28"/>
    </w:rPr>
  </w:style>
  <w:style w:type="character" w:customStyle="1" w:styleId="af2">
    <w:name w:val="لیست پاراگراف نویسه"/>
    <w:link w:val="af1"/>
    <w:uiPriority w:val="34"/>
    <w:rsid w:val="00E83C2C"/>
    <w:rPr>
      <w:rFonts w:eastAsia="2  Lotus" w:cs="2  Lotus"/>
      <w:sz w:val="22"/>
      <w:szCs w:val="28"/>
    </w:rPr>
  </w:style>
  <w:style w:type="paragraph" w:styleId="af3">
    <w:name w:val="Quote"/>
    <w:basedOn w:val="a"/>
    <w:next w:val="a"/>
    <w:link w:val="af4"/>
    <w:autoRedefine/>
    <w:uiPriority w:val="29"/>
    <w:qFormat/>
    <w:rsid w:val="00E83C2C"/>
    <w:pPr>
      <w:spacing w:before="120" w:after="240"/>
      <w:ind w:left="1134" w:firstLine="0"/>
    </w:pPr>
    <w:rPr>
      <w:rFonts w:cs="B Lotus"/>
      <w:i/>
      <w:sz w:val="20"/>
      <w:szCs w:val="30"/>
    </w:rPr>
  </w:style>
  <w:style w:type="character" w:customStyle="1" w:styleId="af4">
    <w:name w:val="نقل قول نویسه"/>
    <w:link w:val="af3"/>
    <w:uiPriority w:val="29"/>
    <w:rsid w:val="00E83C2C"/>
    <w:rPr>
      <w:rFonts w:eastAsia="Calibri" w:cs="B Lotus"/>
      <w:i/>
      <w:szCs w:val="30"/>
    </w:rPr>
  </w:style>
  <w:style w:type="paragraph" w:styleId="af5">
    <w:name w:val="Intense Quote"/>
    <w:basedOn w:val="a"/>
    <w:next w:val="a"/>
    <w:link w:val="af6"/>
    <w:autoRedefine/>
    <w:uiPriority w:val="30"/>
    <w:qFormat/>
    <w:rsid w:val="00E83C2C"/>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E83C2C"/>
    <w:rPr>
      <w:rFonts w:eastAsia="2  Lotus" w:cs="B Lotus"/>
      <w:b/>
      <w:bCs/>
      <w:i/>
      <w:szCs w:val="30"/>
    </w:rPr>
  </w:style>
  <w:style w:type="character" w:styleId="af7">
    <w:name w:val="Subtle Emphasis"/>
    <w:uiPriority w:val="19"/>
    <w:qFormat/>
    <w:rsid w:val="00E83C2C"/>
    <w:rPr>
      <w:rFonts w:cs="2  Lotus"/>
      <w:i/>
      <w:iCs/>
      <w:color w:val="4A442A"/>
      <w:szCs w:val="32"/>
      <w:u w:val="none"/>
    </w:rPr>
  </w:style>
  <w:style w:type="character" w:styleId="af8">
    <w:name w:val="Intense Emphasis"/>
    <w:uiPriority w:val="21"/>
    <w:qFormat/>
    <w:rsid w:val="00E83C2C"/>
    <w:rPr>
      <w:rFonts w:cs="2  Lotus"/>
      <w:b/>
      <w:i/>
      <w:iCs/>
      <w:color w:val="auto"/>
      <w:szCs w:val="32"/>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 w:type="paragraph" w:styleId="aff">
    <w:name w:val="Normal (Web)"/>
    <w:basedOn w:val="a"/>
    <w:uiPriority w:val="99"/>
    <w:rsid w:val="008A7975"/>
    <w:pPr>
      <w:autoSpaceDE w:val="0"/>
      <w:autoSpaceDN w:val="0"/>
    </w:pPr>
    <w:rPr>
      <w:rFonts w:ascii="B Lotus" w:eastAsia="Times New Roman" w:hAnsi="B Lotus" w:cs="B Lotu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1607;&#1583;&#1740;&#1606;&#1711;%20&#1608;%20&#1606;&#1605;&#1608;&#1606;&#1607;\&#1606;&#1605;&#1608;&#1606;&#1607;%20&#1582;&#1575;&#1585;&#1580;%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اصول فقه</Template>
  <TotalTime>38</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Markaze Asnad</cp:lastModifiedBy>
  <cp:revision>7</cp:revision>
  <dcterms:created xsi:type="dcterms:W3CDTF">2014-11-22T08:28:00Z</dcterms:created>
  <dcterms:modified xsi:type="dcterms:W3CDTF">2014-11-23T08:31:00Z</dcterms:modified>
</cp:coreProperties>
</file>