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C1" w:rsidRPr="00D37138" w:rsidRDefault="009769B8" w:rsidP="008107E8">
      <w:pPr>
        <w:pStyle w:val="1"/>
        <w:rPr>
          <w:sz w:val="32"/>
          <w:szCs w:val="34"/>
          <w:rtl/>
        </w:rPr>
      </w:pPr>
      <w:r w:rsidRPr="00D37138">
        <w:rPr>
          <w:rFonts w:hint="cs"/>
          <w:sz w:val="32"/>
          <w:szCs w:val="34"/>
          <w:rtl/>
        </w:rPr>
        <w:t>اشاره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 xml:space="preserve">در صورت امتناع و تقدیم جانب نهی، در صورت علم یا جهل تفصیلی، عبادت باطل است زیرا نهی </w:t>
      </w:r>
      <w:r w:rsidR="00EF1B1F">
        <w:rPr>
          <w:rFonts w:cs="2  Badr" w:hint="cs"/>
          <w:color w:val="000000"/>
          <w:sz w:val="28"/>
          <w:szCs w:val="28"/>
          <w:rtl/>
        </w:rPr>
        <w:t>تنجز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یافته است. دو وجه نقل و بررسی شد. </w:t>
      </w:r>
      <w:r w:rsidRPr="00D37138">
        <w:rPr>
          <w:rFonts w:cs="2  Badr"/>
          <w:color w:val="000000"/>
          <w:sz w:val="28"/>
          <w:szCs w:val="28"/>
        </w:rPr>
        <w:t xml:space="preserve"> 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وجه سوم در جواب آخوند در کلام مرحوم </w:t>
      </w:r>
      <w:r w:rsidR="00EF1B1F">
        <w:rPr>
          <w:rFonts w:cs="2  Badr" w:hint="cs"/>
          <w:color w:val="000000"/>
          <w:sz w:val="28"/>
          <w:szCs w:val="28"/>
          <w:rtl/>
        </w:rPr>
        <w:t>نائینی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است:</w:t>
      </w:r>
    </w:p>
    <w:p w:rsidR="00F247C1" w:rsidRPr="00D37138" w:rsidRDefault="00F247C1" w:rsidP="008107E8">
      <w:pPr>
        <w:pStyle w:val="1"/>
        <w:rPr>
          <w:sz w:val="32"/>
          <w:szCs w:val="34"/>
        </w:rPr>
      </w:pPr>
      <w:r w:rsidRPr="00D37138">
        <w:rPr>
          <w:rFonts w:hint="cs"/>
          <w:sz w:val="32"/>
          <w:szCs w:val="34"/>
          <w:rtl/>
        </w:rPr>
        <w:t>اشکال نائ</w:t>
      </w:r>
      <w:r w:rsidR="009769B8" w:rsidRPr="00D37138">
        <w:rPr>
          <w:rFonts w:hint="cs"/>
          <w:sz w:val="32"/>
          <w:szCs w:val="34"/>
          <w:rtl/>
        </w:rPr>
        <w:t>ینی</w:t>
      </w:r>
    </w:p>
    <w:p w:rsidR="00F247C1" w:rsidRPr="00D37138" w:rsidRDefault="00E74CC9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>
        <w:rPr>
          <w:rFonts w:cs="2  Badr" w:hint="cs"/>
          <w:color w:val="000000"/>
          <w:sz w:val="28"/>
          <w:szCs w:val="28"/>
          <w:rtl/>
        </w:rPr>
        <w:t>در مثال نماز در زمین غ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صبی، </w:t>
      </w:r>
      <w:r w:rsidR="00EF1B1F">
        <w:rPr>
          <w:rFonts w:cs="2  Badr" w:hint="cs"/>
          <w:color w:val="000000"/>
          <w:sz w:val="28"/>
          <w:szCs w:val="28"/>
          <w:rtl/>
        </w:rPr>
        <w:t>بنا بر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 امتناع و تقدیم نهی، در مرتبه ملاک، ملاک امر </w:t>
      </w:r>
      <w:r w:rsidR="00EF1B1F">
        <w:rPr>
          <w:rFonts w:cs="2  Badr" w:hint="cs"/>
          <w:color w:val="000000"/>
          <w:sz w:val="28"/>
          <w:szCs w:val="28"/>
          <w:rtl/>
        </w:rPr>
        <w:t>واقعاً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 مغلوب شده است. ملاک غصبیت ملاک نماز را مغلوب نموده</w:t>
      </w:r>
      <w:r>
        <w:rPr>
          <w:rFonts w:cs="2  Badr" w:hint="cs"/>
          <w:color w:val="000000"/>
          <w:sz w:val="28"/>
          <w:szCs w:val="28"/>
          <w:rtl/>
        </w:rPr>
        <w:t>،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 لذا جا برای علم و جهل فرد نیست و علم و جهل بی</w:t>
      </w:r>
      <w:r w:rsidR="00F247C1" w:rsidRPr="00D37138">
        <w:rPr>
          <w:rFonts w:cs="2  Badr"/>
          <w:color w:val="000000"/>
          <w:sz w:val="28"/>
          <w:szCs w:val="28"/>
          <w:rtl/>
        </w:rPr>
        <w:softHyphen/>
      </w:r>
      <w:r w:rsidR="00F247C1" w:rsidRPr="00D37138">
        <w:rPr>
          <w:rFonts w:cs="2  Badr" w:hint="cs"/>
          <w:color w:val="000000"/>
          <w:sz w:val="28"/>
          <w:szCs w:val="28"/>
          <w:rtl/>
        </w:rPr>
        <w:t>اثر می</w:t>
      </w:r>
      <w:r w:rsidR="00F247C1" w:rsidRPr="00D37138">
        <w:rPr>
          <w:rFonts w:cs="2  Badr"/>
          <w:color w:val="000000"/>
          <w:sz w:val="28"/>
          <w:szCs w:val="28"/>
          <w:rtl/>
        </w:rPr>
        <w:softHyphen/>
      </w:r>
      <w:r w:rsidR="00F247C1" w:rsidRPr="00D37138">
        <w:rPr>
          <w:rFonts w:cs="2  Badr" w:hint="cs"/>
          <w:color w:val="000000"/>
          <w:sz w:val="28"/>
          <w:szCs w:val="28"/>
          <w:rtl/>
        </w:rPr>
        <w:t>شود.</w:t>
      </w:r>
    </w:p>
    <w:p w:rsidR="00F247C1" w:rsidRPr="00D37138" w:rsidRDefault="001C01D2" w:rsidP="008107E8">
      <w:pPr>
        <w:pStyle w:val="1"/>
        <w:rPr>
          <w:sz w:val="32"/>
          <w:szCs w:val="34"/>
          <w:rtl/>
        </w:rPr>
      </w:pPr>
      <w:r w:rsidRPr="00D37138">
        <w:rPr>
          <w:rFonts w:hint="cs"/>
          <w:sz w:val="32"/>
          <w:szCs w:val="34"/>
          <w:rtl/>
        </w:rPr>
        <w:t>اصلاح نکته دیروز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 xml:space="preserve">در بحث دیروز اشتباهی مطلبی به صاحب کفایه </w:t>
      </w:r>
      <w:r w:rsidR="00EF1B1F">
        <w:rPr>
          <w:rFonts w:cs="2  Badr" w:hint="cs"/>
          <w:color w:val="000000"/>
          <w:sz w:val="28"/>
          <w:szCs w:val="28"/>
          <w:rtl/>
        </w:rPr>
        <w:t>نسبت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داده شد که امروز اصلاح می</w:t>
      </w:r>
      <w:r w:rsidRPr="00D37138">
        <w:rPr>
          <w:rFonts w:cs="2  Badr" w:hint="cs"/>
          <w:color w:val="000000"/>
          <w:sz w:val="28"/>
          <w:szCs w:val="28"/>
          <w:rtl/>
        </w:rPr>
        <w:softHyphen/>
        <w:t>شود.</w:t>
      </w:r>
    </w:p>
    <w:p w:rsidR="00F247C1" w:rsidRPr="00D37138" w:rsidRDefault="00F247C1" w:rsidP="00E74CC9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 xml:space="preserve">عرض ما این است که این بحث بنا بر امتناع و جهل شخص، آیا عبادات قابل تصحیح است؟ در صورت امتناعی شدن، باید انتخاب مبنا نمود که بحث را از باب تزاحم </w:t>
      </w:r>
      <w:r w:rsidR="00EF1B1F">
        <w:rPr>
          <w:rFonts w:cs="2  Badr" w:hint="cs"/>
          <w:color w:val="000000"/>
          <w:sz w:val="28"/>
          <w:szCs w:val="28"/>
          <w:rtl/>
        </w:rPr>
        <w:t>می‌دانیم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یا تعارض؟ فرق این دو </w:t>
      </w:r>
      <w:r w:rsidR="000021C8">
        <w:rPr>
          <w:rFonts w:cs="2  Badr" w:hint="cs"/>
          <w:color w:val="000000"/>
          <w:sz w:val="28"/>
          <w:szCs w:val="28"/>
          <w:rtl/>
        </w:rPr>
        <w:t>بعداً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بحث می</w:t>
      </w:r>
      <w:r w:rsidRPr="00D37138">
        <w:rPr>
          <w:rFonts w:cs="2  Badr"/>
          <w:color w:val="000000"/>
          <w:sz w:val="28"/>
          <w:szCs w:val="28"/>
          <w:rtl/>
        </w:rPr>
        <w:softHyphen/>
      </w:r>
      <w:r w:rsidRPr="00D37138">
        <w:rPr>
          <w:rFonts w:cs="2  Badr" w:hint="cs"/>
          <w:color w:val="000000"/>
          <w:sz w:val="28"/>
          <w:szCs w:val="28"/>
          <w:rtl/>
        </w:rPr>
        <w:t>شود. در باب تعارض، امکان جعل حکم نیست لذا حکم ملاک ندارد</w:t>
      </w:r>
      <w:r w:rsidR="00E74CC9">
        <w:rPr>
          <w:rFonts w:cs="2  Badr" w:hint="cs"/>
          <w:color w:val="000000"/>
          <w:sz w:val="28"/>
          <w:szCs w:val="28"/>
          <w:rtl/>
        </w:rPr>
        <w:t>،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اما در باب تزاحم ملاک پایه وجود دارد و در مقام عمل مشکل وجود دارد.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 xml:space="preserve">در فرض قول به امتناع، باید دید امر و نهی تعارض دارند یا تزاحم؟ 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 xml:space="preserve">اگر تعارض دارد (کما هو الحق)، عبادت باطل است. در این مورد امر جعل نشده است و نهی جعل شرعی دارد. دو تا جعل نداریم لذا در این صورت که تعارض است، (در مثال اکرم العالم و لا تکرم العالم یا لا تکرم الفاسق تعارض دارد و یک جعل بیشتر نیست) این مورد علم و جهل مکلف </w:t>
      </w:r>
      <w:r w:rsidR="000021C8">
        <w:rPr>
          <w:rFonts w:cs="2  Badr" w:hint="cs"/>
          <w:color w:val="000000"/>
          <w:sz w:val="28"/>
          <w:szCs w:val="28"/>
          <w:rtl/>
        </w:rPr>
        <w:t>تأثیر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ندارد. اگر از باب تزاحم دانستیم، علم و جهل مکلف اثر خواهد داشت.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>مرحوم آخوند تزاحمی است، دیروز به آخوند نسبت خطا داده شد، با بیان امروز اصلاح شد. در صورت تزاحم، جهل در عبادت اثر دارد</w:t>
      </w:r>
      <w:r w:rsidR="00E74CC9">
        <w:rPr>
          <w:rFonts w:cs="2  Badr" w:hint="cs"/>
          <w:color w:val="000000"/>
          <w:sz w:val="28"/>
          <w:szCs w:val="28"/>
          <w:rtl/>
        </w:rPr>
        <w:t>،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لذا اشکالات مرحوم خویی و </w:t>
      </w:r>
      <w:r w:rsidR="00EF1B1F">
        <w:rPr>
          <w:rFonts w:cs="2  Badr" w:hint="cs"/>
          <w:color w:val="000000"/>
          <w:sz w:val="28"/>
          <w:szCs w:val="28"/>
          <w:rtl/>
        </w:rPr>
        <w:t>نائینی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طبق مبنای آخوند خراسانی قابل جواب است. </w:t>
      </w:r>
    </w:p>
    <w:p w:rsidR="00F247C1" w:rsidRPr="00D37138" w:rsidRDefault="00B85EEB" w:rsidP="008107E8">
      <w:pPr>
        <w:pStyle w:val="2"/>
        <w:spacing w:before="0"/>
        <w:rPr>
          <w:sz w:val="30"/>
          <w:szCs w:val="32"/>
          <w:rtl/>
        </w:rPr>
      </w:pPr>
      <w:r w:rsidRPr="00D37138">
        <w:rPr>
          <w:rFonts w:hint="cs"/>
          <w:sz w:val="30"/>
          <w:szCs w:val="32"/>
          <w:rtl/>
        </w:rPr>
        <w:t>نکته</w:t>
      </w:r>
    </w:p>
    <w:p w:rsidR="00F247C1" w:rsidRPr="00D37138" w:rsidRDefault="00F247C1" w:rsidP="00E74CC9">
      <w:pPr>
        <w:spacing w:after="0"/>
        <w:rPr>
          <w:b/>
          <w:bCs/>
          <w:sz w:val="28"/>
          <w:szCs w:val="28"/>
          <w:rtl/>
        </w:rPr>
      </w:pPr>
      <w:r w:rsidRPr="00D37138">
        <w:rPr>
          <w:rFonts w:hint="cs"/>
          <w:sz w:val="28"/>
          <w:szCs w:val="28"/>
          <w:rtl/>
        </w:rPr>
        <w:t xml:space="preserve">این سلسله مباحث </w:t>
      </w:r>
      <w:r w:rsidR="00E74CC9">
        <w:rPr>
          <w:rFonts w:hint="cs"/>
          <w:sz w:val="28"/>
          <w:szCs w:val="28"/>
          <w:rtl/>
        </w:rPr>
        <w:t xml:space="preserve">که </w:t>
      </w:r>
      <w:r w:rsidRPr="00D37138">
        <w:rPr>
          <w:rFonts w:hint="cs"/>
          <w:sz w:val="28"/>
          <w:szCs w:val="28"/>
          <w:rtl/>
        </w:rPr>
        <w:t>از آخوند و خویی و ... بیان شد در صورت امتناعی شدن بود</w:t>
      </w:r>
      <w:r w:rsidR="00B85EEB" w:rsidRPr="00D37138">
        <w:rPr>
          <w:rFonts w:hint="cs"/>
          <w:sz w:val="28"/>
          <w:szCs w:val="28"/>
          <w:rtl/>
        </w:rPr>
        <w:t>؛</w:t>
      </w:r>
      <w:r w:rsidRPr="00D37138">
        <w:rPr>
          <w:rFonts w:hint="cs"/>
          <w:sz w:val="28"/>
          <w:szCs w:val="28"/>
          <w:rtl/>
        </w:rPr>
        <w:t xml:space="preserve"> اما بنا بر قول</w:t>
      </w:r>
      <w:r w:rsidRPr="00D37138">
        <w:rPr>
          <w:sz w:val="28"/>
          <w:szCs w:val="28"/>
          <w:rtl/>
        </w:rPr>
        <w:softHyphen/>
      </w:r>
      <w:r w:rsidR="00B85EEB" w:rsidRPr="00D37138">
        <w:rPr>
          <w:rFonts w:hint="cs"/>
          <w:sz w:val="28"/>
          <w:szCs w:val="28"/>
          <w:rtl/>
        </w:rPr>
        <w:t>های دیگر نیز ملاحظاتی است</w:t>
      </w:r>
      <w:r w:rsidR="00E74CC9">
        <w:rPr>
          <w:rFonts w:hint="cs"/>
          <w:sz w:val="28"/>
          <w:szCs w:val="28"/>
          <w:rtl/>
        </w:rPr>
        <w:t>.</w:t>
      </w:r>
    </w:p>
    <w:p w:rsidR="00F247C1" w:rsidRPr="00D37138" w:rsidRDefault="00F247C1" w:rsidP="008107E8">
      <w:pPr>
        <w:pStyle w:val="2"/>
        <w:spacing w:before="0"/>
        <w:rPr>
          <w:sz w:val="30"/>
          <w:szCs w:val="32"/>
          <w:rtl/>
        </w:rPr>
      </w:pPr>
      <w:r w:rsidRPr="00D37138">
        <w:rPr>
          <w:rFonts w:hint="cs"/>
          <w:sz w:val="30"/>
          <w:szCs w:val="32"/>
          <w:rtl/>
        </w:rPr>
        <w:t>اشکال قول به جواز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>بنا بر قول به جواز</w:t>
      </w:r>
      <w:r w:rsidRPr="00D37138">
        <w:rPr>
          <w:rFonts w:cs="2  Badr" w:hint="cs"/>
          <w:b/>
          <w:bCs/>
          <w:color w:val="000000"/>
          <w:sz w:val="28"/>
          <w:szCs w:val="28"/>
          <w:rtl/>
        </w:rPr>
        <w:t xml:space="preserve">، 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آخوند فرمودند: اتیان به مجمع صحیح </w:t>
      </w:r>
      <w:r w:rsidR="00EF1B1F">
        <w:rPr>
          <w:rFonts w:cs="2  Badr"/>
          <w:color w:val="000000"/>
          <w:sz w:val="28"/>
          <w:szCs w:val="28"/>
          <w:rtl/>
        </w:rPr>
        <w:t>است (</w:t>
      </w:r>
      <w:r w:rsidRPr="00D37138">
        <w:rPr>
          <w:rFonts w:cs="2  Badr" w:hint="cs"/>
          <w:color w:val="000000"/>
          <w:sz w:val="28"/>
          <w:szCs w:val="28"/>
          <w:rtl/>
        </w:rPr>
        <w:t>عمل چه توصلی باشد و چه تعبدی)، در مورد این بخش تعلیقه سید یزدی را استاد وحید خراسانی نقل نموده</w:t>
      </w:r>
      <w:r w:rsidRPr="00D37138">
        <w:rPr>
          <w:rFonts w:cs="2  Badr" w:hint="cs"/>
          <w:color w:val="000000"/>
          <w:sz w:val="28"/>
          <w:szCs w:val="28"/>
          <w:rtl/>
        </w:rPr>
        <w:softHyphen/>
        <w:t>اند. می</w:t>
      </w:r>
      <w:r w:rsidRPr="00D37138">
        <w:rPr>
          <w:rFonts w:cs="2  Badr" w:hint="cs"/>
          <w:color w:val="000000"/>
          <w:sz w:val="28"/>
          <w:szCs w:val="28"/>
          <w:rtl/>
        </w:rPr>
        <w:softHyphen/>
        <w:t xml:space="preserve">فرمایند صحت عبادت به این وضوحی که آخوند بیان نمود، </w:t>
      </w:r>
      <w:r w:rsidR="000021C8">
        <w:rPr>
          <w:rFonts w:cs="2  Badr" w:hint="cs"/>
          <w:color w:val="000000"/>
          <w:sz w:val="28"/>
          <w:szCs w:val="28"/>
          <w:rtl/>
        </w:rPr>
        <w:t>علی‌الاطلاق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نیست. در این صورت عبادت می</w:t>
      </w:r>
      <w:r w:rsidRPr="00D37138">
        <w:rPr>
          <w:rFonts w:cs="2  Badr"/>
          <w:color w:val="000000"/>
          <w:sz w:val="28"/>
          <w:szCs w:val="28"/>
          <w:rtl/>
        </w:rPr>
        <w:softHyphen/>
      </w:r>
      <w:r w:rsidRPr="00D37138">
        <w:rPr>
          <w:rFonts w:cs="2  Badr" w:hint="cs"/>
          <w:color w:val="000000"/>
          <w:sz w:val="28"/>
          <w:szCs w:val="28"/>
          <w:rtl/>
        </w:rPr>
        <w:t>تواند باطل باشد.</w:t>
      </w:r>
    </w:p>
    <w:p w:rsidR="00F247C1" w:rsidRPr="00D37138" w:rsidRDefault="00F247C1" w:rsidP="008107E8">
      <w:pPr>
        <w:pStyle w:val="3"/>
        <w:spacing w:before="0"/>
        <w:rPr>
          <w:sz w:val="24"/>
          <w:szCs w:val="30"/>
          <w:rtl/>
        </w:rPr>
      </w:pPr>
      <w:r w:rsidRPr="00D37138">
        <w:rPr>
          <w:rFonts w:hint="cs"/>
          <w:sz w:val="24"/>
          <w:szCs w:val="30"/>
          <w:rtl/>
        </w:rPr>
        <w:lastRenderedPageBreak/>
        <w:t>اشکال سید یزدی:</w:t>
      </w:r>
    </w:p>
    <w:p w:rsidR="00F247C1" w:rsidRPr="00D37138" w:rsidRDefault="000021C8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>
        <w:rPr>
          <w:rFonts w:cs="2  Badr" w:hint="cs"/>
          <w:color w:val="000000"/>
          <w:sz w:val="28"/>
          <w:szCs w:val="28"/>
          <w:rtl/>
        </w:rPr>
        <w:t>ازنظر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 عقلی، اجتماع امر و نهی را درست نمودید</w:t>
      </w:r>
      <w:r w:rsidR="00EF1B1F">
        <w:rPr>
          <w:rFonts w:cs="2  Badr"/>
          <w:color w:val="000000"/>
          <w:sz w:val="28"/>
          <w:szCs w:val="28"/>
          <w:rtl/>
        </w:rPr>
        <w:t xml:space="preserve"> 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>که یا تضاد بین احکام نیست یا تعدد عنوان مستلزم تعدد معنون است یا خطابات بر عنوان وارد می</w:t>
      </w:r>
      <w:r w:rsidR="00F247C1" w:rsidRPr="00D37138">
        <w:rPr>
          <w:rFonts w:cs="2  Badr"/>
          <w:color w:val="000000"/>
          <w:sz w:val="28"/>
          <w:szCs w:val="28"/>
          <w:rtl/>
        </w:rPr>
        <w:softHyphen/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شود نه معنون؛ این مباحث عقلی است نه عرفی. در فضای عرف، مجمع امر و نهی، </w:t>
      </w:r>
      <w:r>
        <w:rPr>
          <w:rFonts w:cs="2  Badr" w:hint="cs"/>
          <w:color w:val="000000"/>
          <w:sz w:val="28"/>
          <w:szCs w:val="28"/>
          <w:rtl/>
        </w:rPr>
        <w:t>قابل‌اطاعت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t xml:space="preserve"> نیست زیرا: (ایشان سه استدلال بیان می</w:t>
      </w:r>
      <w:r w:rsidR="00F247C1" w:rsidRPr="00D37138">
        <w:rPr>
          <w:rFonts w:cs="2  Badr" w:hint="cs"/>
          <w:color w:val="000000"/>
          <w:sz w:val="28"/>
          <w:szCs w:val="28"/>
          <w:rtl/>
        </w:rPr>
        <w:softHyphen/>
        <w:t>کند)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>1</w:t>
      </w:r>
      <w:r w:rsidR="00EF1B1F">
        <w:rPr>
          <w:rFonts w:cs="2  Badr"/>
          <w:color w:val="000000"/>
          <w:sz w:val="28"/>
          <w:szCs w:val="28"/>
          <w:rtl/>
        </w:rPr>
        <w:t xml:space="preserve"> ـ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</w:t>
      </w:r>
      <w:r w:rsidR="000021C8">
        <w:rPr>
          <w:rFonts w:cs="2  Badr" w:hint="cs"/>
          <w:color w:val="000000"/>
          <w:sz w:val="28"/>
          <w:szCs w:val="28"/>
          <w:rtl/>
        </w:rPr>
        <w:t>اولاً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اطلاق امر «بدلی» است و </w:t>
      </w:r>
      <w:r w:rsidR="000021C8">
        <w:rPr>
          <w:rFonts w:cs="2  Badr" w:hint="cs"/>
          <w:color w:val="000000"/>
          <w:sz w:val="28"/>
          <w:szCs w:val="28"/>
          <w:rtl/>
        </w:rPr>
        <w:t>اطلاق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نهی «استغراقی» و شمولی است؛ در این صورت در اجتماع امر و نهی، این دو </w:t>
      </w:r>
      <w:r w:rsidR="000021C8">
        <w:rPr>
          <w:rFonts w:cs="2  Badr" w:hint="cs"/>
          <w:color w:val="000000"/>
          <w:sz w:val="28"/>
          <w:szCs w:val="28"/>
          <w:rtl/>
        </w:rPr>
        <w:t>قابل‌جمع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است و همیشه اطلاق شمولی بر اطلاق بدلی مقدم است لذا در مثال مذکور «لا تغصب» (نهی) مقدم بر «صل» (امر) است.</w:t>
      </w:r>
    </w:p>
    <w:p w:rsidR="00F247C1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>2</w:t>
      </w:r>
      <w:r w:rsidR="00EF1B1F">
        <w:rPr>
          <w:rFonts w:cs="2  Badr"/>
          <w:color w:val="000000"/>
          <w:sz w:val="28"/>
          <w:szCs w:val="28"/>
          <w:rtl/>
        </w:rPr>
        <w:t xml:space="preserve"> ـ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</w:t>
      </w:r>
      <w:r w:rsidR="000021C8">
        <w:rPr>
          <w:rFonts w:cs="2  Badr" w:hint="cs"/>
          <w:color w:val="000000"/>
          <w:sz w:val="28"/>
          <w:szCs w:val="28"/>
          <w:rtl/>
        </w:rPr>
        <w:t>ثانیاً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نهی (لا تغصب</w:t>
      </w:r>
      <w:r w:rsidR="00EF1B1F">
        <w:rPr>
          <w:rFonts w:cs="2  Badr"/>
          <w:color w:val="000000"/>
          <w:sz w:val="28"/>
          <w:szCs w:val="28"/>
          <w:rtl/>
        </w:rPr>
        <w:t>) حالت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تعیینی دارد و امر (صلات) حالت تخییری دارد؛ در چنین مواردی تعیین بر تخییر مقدم است. البته این استدلال دوم سید را برخی مصداقی از استدلال اول وی می</w:t>
      </w:r>
      <w:r w:rsidRPr="00D37138">
        <w:rPr>
          <w:rFonts w:cs="2  Badr"/>
          <w:color w:val="000000"/>
          <w:sz w:val="28"/>
          <w:szCs w:val="28"/>
          <w:rtl/>
        </w:rPr>
        <w:softHyphen/>
      </w:r>
      <w:r w:rsidRPr="00D37138">
        <w:rPr>
          <w:rFonts w:cs="2  Badr" w:hint="cs"/>
          <w:color w:val="000000"/>
          <w:sz w:val="28"/>
          <w:szCs w:val="28"/>
          <w:rtl/>
        </w:rPr>
        <w:t>دانند.</w:t>
      </w:r>
    </w:p>
    <w:p w:rsidR="00F247C1" w:rsidRPr="00D37138" w:rsidRDefault="00F247C1" w:rsidP="006F79F2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>3</w:t>
      </w:r>
      <w:r w:rsidR="00EF1B1F">
        <w:rPr>
          <w:rFonts w:cs="2  Badr"/>
          <w:color w:val="000000"/>
          <w:sz w:val="28"/>
          <w:szCs w:val="28"/>
          <w:rtl/>
        </w:rPr>
        <w:t xml:space="preserve"> ـ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</w:t>
      </w:r>
      <w:r w:rsidR="000021C8">
        <w:rPr>
          <w:rFonts w:cs="2  Badr" w:hint="cs"/>
          <w:color w:val="000000"/>
          <w:sz w:val="28"/>
          <w:szCs w:val="28"/>
          <w:rtl/>
        </w:rPr>
        <w:t>ثالثاً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اخبار مفید این است که در تعارض بین واجب و محرم، ادله محرم مقدم است زیرا نقل شده است: </w:t>
      </w:r>
      <w:r w:rsidR="006F79F2" w:rsidRPr="00D37138">
        <w:rPr>
          <w:rFonts w:cs="2  Badr" w:hint="cs"/>
          <w:color w:val="000000"/>
          <w:sz w:val="28"/>
          <w:szCs w:val="28"/>
          <w:rtl/>
        </w:rPr>
        <w:t>«</w:t>
      </w:r>
      <w:r w:rsidRPr="00D37138">
        <w:rPr>
          <w:rFonts w:cs="2  Badr" w:hint="cs"/>
          <w:b/>
          <w:bCs/>
          <w:color w:val="000000"/>
          <w:sz w:val="28"/>
          <w:szCs w:val="28"/>
          <w:rtl/>
        </w:rPr>
        <w:t>لا یطاع الله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... </w:t>
      </w:r>
      <w:r w:rsidRPr="00D37138">
        <w:rPr>
          <w:rFonts w:cs="2  Badr" w:hint="cs"/>
          <w:b/>
          <w:bCs/>
          <w:color w:val="000000"/>
          <w:sz w:val="28"/>
          <w:szCs w:val="28"/>
          <w:rtl/>
        </w:rPr>
        <w:t>فی کل معصی</w:t>
      </w:r>
      <w:r w:rsidR="006F79F2" w:rsidRPr="00D37138">
        <w:rPr>
          <w:rFonts w:cs="2  Badr" w:hint="cs"/>
          <w:b/>
          <w:bCs/>
          <w:color w:val="000000"/>
          <w:sz w:val="28"/>
          <w:szCs w:val="28"/>
          <w:rtl/>
        </w:rPr>
        <w:t>ة»</w:t>
      </w:r>
      <w:r w:rsidR="006F79F2" w:rsidRPr="00D37138">
        <w:rPr>
          <w:rStyle w:val="aff"/>
          <w:rFonts w:eastAsia="2  Lotus" w:cs="2  Badr"/>
          <w:color w:val="000000"/>
          <w:sz w:val="28"/>
          <w:szCs w:val="28"/>
          <w:rtl/>
        </w:rPr>
        <w:footnoteReference w:id="1"/>
      </w:r>
      <w:r w:rsidRPr="00D37138">
        <w:rPr>
          <w:rFonts w:cs="2  Badr" w:hint="cs"/>
          <w:color w:val="000000"/>
          <w:sz w:val="28"/>
          <w:szCs w:val="28"/>
          <w:rtl/>
        </w:rPr>
        <w:t>، یا روایاتی که دال بر نهی از نماز در لباس غصبی و ... می</w:t>
      </w:r>
      <w:r w:rsidRPr="00D37138">
        <w:rPr>
          <w:rFonts w:cs="2  Badr" w:hint="cs"/>
          <w:color w:val="000000"/>
          <w:sz w:val="28"/>
          <w:szCs w:val="28"/>
          <w:rtl/>
        </w:rPr>
        <w:softHyphen/>
        <w:t>باشد و اینکه از طریق نهی نمی</w:t>
      </w:r>
      <w:r w:rsidRPr="00D37138">
        <w:rPr>
          <w:rFonts w:cs="2  Badr" w:hint="cs"/>
          <w:color w:val="000000"/>
          <w:sz w:val="28"/>
          <w:szCs w:val="28"/>
          <w:rtl/>
        </w:rPr>
        <w:softHyphen/>
        <w:t>توان خداوند را اطاعت نمود.</w:t>
      </w:r>
    </w:p>
    <w:p w:rsidR="00F247C1" w:rsidRPr="00D37138" w:rsidRDefault="00F247C1" w:rsidP="008107E8">
      <w:pPr>
        <w:pStyle w:val="2"/>
        <w:spacing w:before="0"/>
        <w:rPr>
          <w:sz w:val="30"/>
          <w:szCs w:val="32"/>
          <w:rtl/>
        </w:rPr>
      </w:pPr>
      <w:r w:rsidRPr="00D37138">
        <w:rPr>
          <w:rFonts w:hint="cs"/>
          <w:sz w:val="30"/>
          <w:szCs w:val="32"/>
          <w:rtl/>
        </w:rPr>
        <w:t>ملاحظات:</w:t>
      </w:r>
    </w:p>
    <w:p w:rsidR="00F247C1" w:rsidRPr="00D37138" w:rsidRDefault="000021C8" w:rsidP="008107E8">
      <w:pPr>
        <w:pStyle w:val="3"/>
        <w:spacing w:before="0"/>
        <w:rPr>
          <w:sz w:val="24"/>
          <w:szCs w:val="30"/>
          <w:rtl/>
        </w:rPr>
      </w:pPr>
      <w:r>
        <w:rPr>
          <w:rFonts w:hint="cs"/>
          <w:sz w:val="24"/>
          <w:szCs w:val="30"/>
          <w:rtl/>
        </w:rPr>
        <w:t>اولاً</w:t>
      </w:r>
      <w:r w:rsidR="00F247C1" w:rsidRPr="00D37138">
        <w:rPr>
          <w:rFonts w:hint="cs"/>
          <w:sz w:val="24"/>
          <w:szCs w:val="30"/>
          <w:rtl/>
        </w:rPr>
        <w:t xml:space="preserve">: </w:t>
      </w:r>
    </w:p>
    <w:p w:rsidR="00F247C1" w:rsidRPr="00D37138" w:rsidRDefault="00F247C1" w:rsidP="00BF03D4">
      <w:pPr>
        <w:pStyle w:val="aff0"/>
        <w:spacing w:before="0" w:beforeAutospacing="0" w:after="0" w:afterAutospacing="0"/>
        <w:rPr>
          <w:rFonts w:cs="2  Badr"/>
          <w:b/>
          <w:bCs/>
          <w:color w:val="000000"/>
          <w:sz w:val="28"/>
          <w:szCs w:val="28"/>
          <w:rtl/>
        </w:rPr>
      </w:pPr>
      <w:r w:rsidRPr="00D37138">
        <w:rPr>
          <w:rFonts w:cs="2  Badr" w:hint="cs"/>
          <w:color w:val="000000"/>
          <w:sz w:val="28"/>
          <w:szCs w:val="28"/>
          <w:rtl/>
        </w:rPr>
        <w:t xml:space="preserve">در بیان اول و دوم مرحوم سید که اطلاق شمولی و حکم تعیینی مقدم بر </w:t>
      </w:r>
      <w:r w:rsidR="00450B93">
        <w:rPr>
          <w:rFonts w:cs="2  Badr" w:hint="cs"/>
          <w:color w:val="000000"/>
          <w:sz w:val="28"/>
          <w:szCs w:val="28"/>
          <w:rtl/>
        </w:rPr>
        <w:t>اطلاق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بدلی و تخییری باشد؛ این صحیح است </w:t>
      </w:r>
      <w:r w:rsidR="00450B93">
        <w:rPr>
          <w:rFonts w:cs="2  Badr" w:hint="cs"/>
          <w:color w:val="000000"/>
          <w:sz w:val="28"/>
          <w:szCs w:val="28"/>
          <w:rtl/>
        </w:rPr>
        <w:t>درصورتی‌که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مصداق هردو یکی باشد و حالت تعارض داشته باشند</w:t>
      </w:r>
      <w:r w:rsidR="00EF1B1F">
        <w:rPr>
          <w:rFonts w:cs="2  Badr"/>
          <w:color w:val="000000"/>
          <w:sz w:val="28"/>
          <w:szCs w:val="28"/>
          <w:rtl/>
        </w:rPr>
        <w:t xml:space="preserve">؛ 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اما در </w:t>
      </w:r>
      <w:r w:rsidR="00450B93">
        <w:rPr>
          <w:rFonts w:cs="2  Badr" w:hint="cs"/>
          <w:color w:val="000000"/>
          <w:sz w:val="28"/>
          <w:szCs w:val="28"/>
          <w:rtl/>
        </w:rPr>
        <w:t>مورد</w:t>
      </w:r>
      <w:r w:rsidR="00BF03D4">
        <w:rPr>
          <w:rFonts w:cs="2  Badr" w:hint="cs"/>
          <w:color w:val="000000"/>
          <w:sz w:val="28"/>
          <w:szCs w:val="28"/>
          <w:rtl/>
        </w:rPr>
        <w:t xml:space="preserve"> </w:t>
      </w:r>
      <w:r w:rsidR="00450B93">
        <w:rPr>
          <w:rFonts w:cs="2  Badr" w:hint="cs"/>
          <w:color w:val="000000"/>
          <w:sz w:val="28"/>
          <w:szCs w:val="28"/>
          <w:rtl/>
        </w:rPr>
        <w:t>بحث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، دو موضوع است و تعارضی بینشان نیست. در </w:t>
      </w:r>
      <w:r w:rsidR="00450B93">
        <w:rPr>
          <w:rFonts w:cs="2  Badr" w:hint="cs"/>
          <w:color w:val="000000"/>
          <w:sz w:val="28"/>
          <w:szCs w:val="28"/>
          <w:rtl/>
        </w:rPr>
        <w:t>مانحن‌فیه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، موضوع واحد نیست لذا تعارض نیست. ممکن است تسامحات عرفی که هردو را یکی دانسته </w:t>
      </w:r>
      <w:r w:rsidR="00BF03D4">
        <w:rPr>
          <w:rFonts w:cs="2  Badr" w:hint="cs"/>
          <w:color w:val="000000"/>
          <w:sz w:val="28"/>
          <w:szCs w:val="28"/>
          <w:rtl/>
        </w:rPr>
        <w:t>باشد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، این تسامحات </w:t>
      </w:r>
      <w:r w:rsidR="00450B93">
        <w:rPr>
          <w:rFonts w:cs="2  Badr" w:hint="cs"/>
          <w:color w:val="000000"/>
          <w:sz w:val="28"/>
          <w:szCs w:val="28"/>
          <w:rtl/>
        </w:rPr>
        <w:t>قابل‌قبول</w:t>
      </w:r>
      <w:r w:rsidRPr="00D37138">
        <w:rPr>
          <w:rFonts w:cs="2  Badr" w:hint="cs"/>
          <w:color w:val="000000"/>
          <w:sz w:val="28"/>
          <w:szCs w:val="28"/>
          <w:rtl/>
        </w:rPr>
        <w:t xml:space="preserve"> نیست. پس بنا بر جواز اجتماع، تعارض بین امر و نهی نیست. </w:t>
      </w:r>
    </w:p>
    <w:p w:rsidR="00F247C1" w:rsidRPr="00D37138" w:rsidRDefault="000021C8" w:rsidP="008107E8">
      <w:pPr>
        <w:pStyle w:val="3"/>
        <w:spacing w:before="0"/>
        <w:rPr>
          <w:sz w:val="24"/>
          <w:szCs w:val="30"/>
          <w:rtl/>
        </w:rPr>
      </w:pPr>
      <w:r>
        <w:rPr>
          <w:rFonts w:hint="cs"/>
          <w:sz w:val="24"/>
          <w:szCs w:val="30"/>
          <w:rtl/>
        </w:rPr>
        <w:t>ثانیاً</w:t>
      </w:r>
      <w:r w:rsidR="00F247C1" w:rsidRPr="00D37138">
        <w:rPr>
          <w:rFonts w:hint="cs"/>
          <w:sz w:val="24"/>
          <w:szCs w:val="30"/>
          <w:rtl/>
        </w:rPr>
        <w:t xml:space="preserve">: </w:t>
      </w:r>
    </w:p>
    <w:p w:rsidR="00152670" w:rsidRPr="00D37138" w:rsidRDefault="00F247C1" w:rsidP="008107E8">
      <w:pPr>
        <w:pStyle w:val="aff0"/>
        <w:spacing w:before="0" w:beforeAutospacing="0" w:after="0" w:afterAutospacing="0"/>
        <w:rPr>
          <w:rFonts w:cs="2  Badr"/>
          <w:color w:val="000000"/>
          <w:sz w:val="28"/>
          <w:szCs w:val="28"/>
        </w:rPr>
      </w:pPr>
      <w:r w:rsidRPr="00D37138">
        <w:rPr>
          <w:rFonts w:cs="2  Badr" w:hint="cs"/>
          <w:color w:val="000000"/>
          <w:sz w:val="28"/>
          <w:szCs w:val="28"/>
          <w:rtl/>
        </w:rPr>
        <w:t>اصل تقدم اطلاق بدل</w:t>
      </w:r>
      <w:r w:rsidR="008107E8" w:rsidRPr="00D37138">
        <w:rPr>
          <w:rFonts w:cs="2  Badr" w:hint="cs"/>
          <w:color w:val="000000"/>
          <w:sz w:val="28"/>
          <w:szCs w:val="28"/>
          <w:rtl/>
        </w:rPr>
        <w:t>ی بر اطلاق شمولی، جای بحث دارد.</w:t>
      </w:r>
      <w:bookmarkStart w:id="0" w:name="_GoBack"/>
      <w:bookmarkEnd w:id="0"/>
    </w:p>
    <w:sectPr w:rsidR="00152670" w:rsidRPr="00D37138" w:rsidSect="00D37138">
      <w:headerReference w:type="default" r:id="rId6"/>
      <w:footerReference w:type="default" r:id="rId7"/>
      <w:pgSz w:w="12240" w:h="15840"/>
      <w:pgMar w:top="1701" w:right="1041" w:bottom="993" w:left="1134" w:header="709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9C" w:rsidRDefault="006E649C" w:rsidP="00E83C2C">
      <w:pPr>
        <w:spacing w:after="0"/>
      </w:pPr>
      <w:r>
        <w:separator/>
      </w:r>
    </w:p>
  </w:endnote>
  <w:endnote w:type="continuationSeparator" w:id="0">
    <w:p w:rsidR="006E649C" w:rsidRDefault="006E649C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3D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9C" w:rsidRDefault="006E649C" w:rsidP="00E83C2C">
      <w:pPr>
        <w:spacing w:after="0"/>
      </w:pPr>
      <w:r>
        <w:separator/>
      </w:r>
    </w:p>
  </w:footnote>
  <w:footnote w:type="continuationSeparator" w:id="0">
    <w:p w:rsidR="006E649C" w:rsidRDefault="006E649C" w:rsidP="00E83C2C">
      <w:pPr>
        <w:spacing w:after="0"/>
      </w:pPr>
      <w:r>
        <w:continuationSeparator/>
      </w:r>
    </w:p>
  </w:footnote>
  <w:footnote w:id="1">
    <w:p w:rsidR="006F79F2" w:rsidRPr="00114798" w:rsidRDefault="006F79F2" w:rsidP="006F79F2">
      <w:pPr>
        <w:pStyle w:val="aff0"/>
        <w:spacing w:after="0" w:afterAutospacing="0"/>
        <w:rPr>
          <w:rFonts w:ascii="Traditional Arabic" w:hAnsi="Traditional Arabic" w:cs="B Badr"/>
          <w:color w:val="000000"/>
          <w:sz w:val="20"/>
          <w:szCs w:val="20"/>
        </w:rPr>
      </w:pPr>
      <w:r w:rsidRPr="00114798">
        <w:rPr>
          <w:rStyle w:val="aff"/>
          <w:rFonts w:eastAsia="2  Lotus" w:cs="B Badr"/>
          <w:sz w:val="20"/>
          <w:szCs w:val="20"/>
        </w:rPr>
        <w:footnoteRef/>
      </w:r>
      <w:r w:rsidRPr="00114798">
        <w:rPr>
          <w:rFonts w:cs="B Badr" w:hint="cs"/>
          <w:sz w:val="20"/>
          <w:szCs w:val="20"/>
          <w:rtl/>
        </w:rPr>
        <w:t>.</w:t>
      </w:r>
      <w:r w:rsidRPr="00114798">
        <w:rPr>
          <w:rFonts w:cs="B Badr" w:hint="cs"/>
          <w:color w:val="000000" w:themeColor="text1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000000" w:themeColor="text1"/>
          <w:sz w:val="20"/>
          <w:szCs w:val="20"/>
          <w:rtl/>
        </w:rPr>
        <w:t>أَنْ</w:t>
      </w:r>
      <w:r w:rsidRPr="00114798">
        <w:rPr>
          <w:rFonts w:ascii="Traditional Arabic" w:hAnsi="Traditional Arabic" w:cs="B Badr" w:hint="cs"/>
          <w:color w:val="242887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D30000"/>
          <w:sz w:val="20"/>
          <w:szCs w:val="20"/>
          <w:rtl/>
        </w:rPr>
        <w:t>لَا</w:t>
      </w:r>
      <w:r w:rsidRPr="00114798">
        <w:rPr>
          <w:rFonts w:ascii="Traditional Arabic" w:hAnsi="Traditional Arabic" w:cs="B Badr" w:hint="cs"/>
          <w:color w:val="242887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D30000"/>
          <w:sz w:val="20"/>
          <w:szCs w:val="20"/>
          <w:rtl/>
        </w:rPr>
        <w:t>يُطَاعَ‏</w:t>
      </w:r>
      <w:r w:rsidRPr="00114798">
        <w:rPr>
          <w:rFonts w:ascii="Traditional Arabic" w:hAnsi="Traditional Arabic" w:cs="B Badr" w:hint="cs"/>
          <w:color w:val="242887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D30000"/>
          <w:sz w:val="20"/>
          <w:szCs w:val="20"/>
          <w:rtl/>
        </w:rPr>
        <w:t>اللَّهُ‏</w:t>
      </w:r>
      <w:r w:rsidRPr="00114798">
        <w:rPr>
          <w:rFonts w:ascii="Traditional Arabic" w:hAnsi="Traditional Arabic" w:cs="B Badr" w:hint="cs"/>
          <w:color w:val="242887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000000" w:themeColor="text1"/>
          <w:sz w:val="20"/>
          <w:szCs w:val="20"/>
          <w:rtl/>
        </w:rPr>
        <w:t>كُفْرٌ بِاللَّهِ وَ بِجَمِيعِ كُتُبِهِ وَ رُسُلِهِ وَ إِثْبَاتُ كُلِّ بَاطِلٍ وَ تَرْكُ كُلِّ حَقٍّ وَ تَحْلِيلُ كُلِّ حَرَامٍ وَ تَحْرِيمُ كُلِّ حَلَالٍ وَ الدُّخُولُ فِي كُلِّ</w:t>
      </w:r>
      <w:r w:rsidRPr="00114798">
        <w:rPr>
          <w:rFonts w:ascii="Traditional Arabic" w:hAnsi="Traditional Arabic" w:cs="B Badr" w:hint="cs"/>
          <w:color w:val="242887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D30000"/>
          <w:sz w:val="20"/>
          <w:szCs w:val="20"/>
          <w:rtl/>
        </w:rPr>
        <w:t>مَعْصِيَةٍ</w:t>
      </w:r>
      <w:r w:rsidRPr="00114798">
        <w:rPr>
          <w:rFonts w:ascii="Traditional Arabic" w:hAnsi="Traditional Arabic" w:cs="B Badr" w:hint="cs"/>
          <w:color w:val="242887"/>
          <w:sz w:val="20"/>
          <w:szCs w:val="20"/>
          <w:rtl/>
        </w:rPr>
        <w:t xml:space="preserve"> </w:t>
      </w:r>
      <w:r w:rsidRPr="00114798">
        <w:rPr>
          <w:rFonts w:ascii="Traditional Arabic" w:hAnsi="Traditional Arabic" w:cs="B Badr" w:hint="cs"/>
          <w:color w:val="000000" w:themeColor="text1"/>
          <w:sz w:val="20"/>
          <w:szCs w:val="20"/>
          <w:rtl/>
        </w:rPr>
        <w:t xml:space="preserve">وَ الْخُرُوجُ مِنْ كُلِّ طَاعَةٍ وَ إِبَاحَةُ كُلِّ فَسَادٍ وَ إِبْطَالُ كُلِّ حَق‏ (عیون اخبار الرضا، ج 2 ص 103؛ علل الشرایع </w:t>
      </w:r>
      <w:r w:rsidR="00EF1B1F">
        <w:rPr>
          <w:rFonts w:ascii="Traditional Arabic" w:hAnsi="Traditional Arabic" w:cs="B Badr"/>
          <w:color w:val="000000" w:themeColor="text1"/>
          <w:sz w:val="20"/>
          <w:szCs w:val="20"/>
          <w:rtl/>
        </w:rPr>
        <w:t>ج 1</w:t>
      </w:r>
      <w:r w:rsidRPr="00114798">
        <w:rPr>
          <w:rFonts w:ascii="Traditional Arabic" w:hAnsi="Traditional Arabic" w:cs="B Badr" w:hint="cs"/>
          <w:color w:val="000000" w:themeColor="text1"/>
          <w:sz w:val="20"/>
          <w:szCs w:val="20"/>
          <w:rtl/>
        </w:rPr>
        <w:t xml:space="preserve"> ص 255)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793967" w:rsidP="00D37138">
    <w:pPr>
      <w:tabs>
        <w:tab w:val="right" w:pos="9617"/>
      </w:tabs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1" locked="0" layoutInCell="1" allowOverlap="1" wp14:anchorId="63276E7E" wp14:editId="7AC6C5B1">
          <wp:simplePos x="0" y="0"/>
          <wp:positionH relativeFrom="column">
            <wp:posOffset>5750560</wp:posOffset>
          </wp:positionH>
          <wp:positionV relativeFrom="paragraph">
            <wp:posOffset>-7620</wp:posOffset>
          </wp:positionV>
          <wp:extent cx="664845" cy="460375"/>
          <wp:effectExtent l="0" t="0" r="1905" b="0"/>
          <wp:wrapThrough wrapText="bothSides">
            <wp:wrapPolygon edited="0">
              <wp:start x="13616" y="0"/>
              <wp:lineTo x="0" y="894"/>
              <wp:lineTo x="0" y="19663"/>
              <wp:lineTo x="3095" y="20557"/>
              <wp:lineTo x="18567" y="20557"/>
              <wp:lineTo x="21043" y="15194"/>
              <wp:lineTo x="21043" y="2681"/>
              <wp:lineTo x="18567" y="0"/>
              <wp:lineTo x="1361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B1"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69B030C" wp14:editId="73D0C4D7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E9F4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</w: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43035D" w:rsidRPr="004E670F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E72F2">
      <w:rPr>
        <w:rFonts w:ascii="Adobe Arabic" w:hAnsi="Adobe Arabic" w:cs="Adobe Arabic" w:hint="cs"/>
        <w:sz w:val="28"/>
        <w:szCs w:val="28"/>
        <w:rtl/>
      </w:rPr>
      <w:t>اجتماع امر و نهی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8E72F2">
      <w:rPr>
        <w:rFonts w:ascii="Adobe Arabic" w:hAnsi="Adobe Arabic" w:cs="Adobe Arabic" w:hint="cs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74232A" w:rsidRPr="004E670F">
      <w:rPr>
        <w:rFonts w:ascii="Adobe Arabic" w:hAnsi="Adobe Arabic" w:cs="Adobe Arabic"/>
        <w:b/>
        <w:bCs/>
        <w:sz w:val="28"/>
        <w:szCs w:val="28"/>
        <w:rtl/>
      </w:rPr>
      <w:t xml:space="preserve">تاریخ جلسه: </w:t>
    </w:r>
    <w:r w:rsidR="008E72F2" w:rsidRPr="00A9642C">
      <w:rPr>
        <w:rFonts w:ascii="Adobe Arabic" w:hAnsi="Adobe Arabic" w:cs="Adobe Arabic"/>
        <w:sz w:val="28"/>
        <w:szCs w:val="28"/>
        <w:rtl/>
      </w:rPr>
      <w:t>5/9/1393</w:t>
    </w:r>
    <w:r>
      <w:rPr>
        <w:rFonts w:ascii="Adobe Arabic" w:hAnsi="Adobe Arabic" w:cs="Adobe Arabic"/>
        <w:b/>
        <w:bCs/>
        <w:sz w:val="28"/>
        <w:szCs w:val="28"/>
        <w:rtl/>
      </w:rPr>
      <w:tab/>
    </w:r>
  </w:p>
  <w:p w:rsidR="000D5800" w:rsidRPr="00D37138" w:rsidRDefault="004E670F" w:rsidP="00D37138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="0043035D" w:rsidRPr="004E670F">
      <w:rPr>
        <w:rFonts w:ascii="Adobe Arabic" w:hAnsi="Adobe Arabic" w:cs="Adobe Arabic"/>
        <w:b/>
        <w:bCs/>
        <w:sz w:val="28"/>
        <w:szCs w:val="28"/>
        <w:rtl/>
      </w:rPr>
      <w:t>عنوان فرعی: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E72F2">
      <w:rPr>
        <w:rFonts w:ascii="Adobe Arabic" w:hAnsi="Adobe Arabic" w:cs="Adobe Arabic" w:hint="cs"/>
        <w:sz w:val="28"/>
        <w:szCs w:val="28"/>
        <w:rtl/>
      </w:rPr>
      <w:t>ثمره بحث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74232A" w:rsidRPr="004E670F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E74CC9">
      <w:rPr>
        <w:rFonts w:ascii="Adobe Arabic" w:hAnsi="Adobe Arabic" w:cs="Adobe Arabic" w:hint="cs"/>
        <w:b/>
        <w:bCs/>
        <w:sz w:val="28"/>
        <w:szCs w:val="28"/>
        <w:rtl/>
      </w:rPr>
      <w:t xml:space="preserve">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1"/>
    <w:rsid w:val="000021C8"/>
    <w:rsid w:val="000324F1"/>
    <w:rsid w:val="00052BA3"/>
    <w:rsid w:val="0006363E"/>
    <w:rsid w:val="00080DFF"/>
    <w:rsid w:val="00084EFA"/>
    <w:rsid w:val="00085ED5"/>
    <w:rsid w:val="000A0BA6"/>
    <w:rsid w:val="000A1A51"/>
    <w:rsid w:val="000D2D0D"/>
    <w:rsid w:val="000E53C5"/>
    <w:rsid w:val="000F1897"/>
    <w:rsid w:val="000F7E72"/>
    <w:rsid w:val="00101E2D"/>
    <w:rsid w:val="00102CEB"/>
    <w:rsid w:val="00120489"/>
    <w:rsid w:val="00127E2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01D2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00CA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50B93"/>
    <w:rsid w:val="004651D2"/>
    <w:rsid w:val="00465D26"/>
    <w:rsid w:val="004679F8"/>
    <w:rsid w:val="004B337F"/>
    <w:rsid w:val="004C1CDA"/>
    <w:rsid w:val="004E670F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E649C"/>
    <w:rsid w:val="006F01B4"/>
    <w:rsid w:val="006F79F2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93967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07E8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E72F2"/>
    <w:rsid w:val="008F63E3"/>
    <w:rsid w:val="00913C3B"/>
    <w:rsid w:val="00915509"/>
    <w:rsid w:val="00927388"/>
    <w:rsid w:val="009274FE"/>
    <w:rsid w:val="009613AC"/>
    <w:rsid w:val="009769B8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85EEB"/>
    <w:rsid w:val="00BB5F7E"/>
    <w:rsid w:val="00BD3122"/>
    <w:rsid w:val="00BD40DA"/>
    <w:rsid w:val="00BF03D4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37138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74CC9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1B1F"/>
    <w:rsid w:val="00F034CE"/>
    <w:rsid w:val="00F10A0F"/>
    <w:rsid w:val="00F247C1"/>
    <w:rsid w:val="00F40284"/>
    <w:rsid w:val="00F67976"/>
    <w:rsid w:val="00F70BE1"/>
    <w:rsid w:val="00F71EB7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6276999-6A6C-4427-B11A-BA5B703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9769B8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769B8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769B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769B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9769B8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9769B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9769B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9769B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9769B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9769B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769B8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769B8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769B8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9769B8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9769B8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769B8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9769B8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9769B8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9769B8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9769B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9769B8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9769B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9769B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9769B8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9769B8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9769B8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9769B8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9769B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9769B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9769B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9769B8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9769B8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9769B8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9769B8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769B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9769B8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9769B8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9769B8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9769B8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9769B8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9769B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9769B8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9769B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9769B8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9769B8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9769B8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  <w:style w:type="character" w:styleId="aff">
    <w:name w:val="footnote reference"/>
    <w:uiPriority w:val="99"/>
    <w:semiHidden/>
    <w:unhideWhenUsed/>
    <w:rsid w:val="00F247C1"/>
    <w:rPr>
      <w:vertAlign w:val="superscript"/>
    </w:rPr>
  </w:style>
  <w:style w:type="paragraph" w:styleId="aff0">
    <w:name w:val="Normal (Web)"/>
    <w:basedOn w:val="a"/>
    <w:uiPriority w:val="99"/>
    <w:unhideWhenUsed/>
    <w:rsid w:val="00F247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اصول فقه</Template>
  <TotalTime>30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6</cp:revision>
  <dcterms:created xsi:type="dcterms:W3CDTF">2014-11-26T09:37:00Z</dcterms:created>
  <dcterms:modified xsi:type="dcterms:W3CDTF">2014-11-29T08:03:00Z</dcterms:modified>
</cp:coreProperties>
</file>