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00" w:rsidRDefault="00840D00" w:rsidP="00840D00">
      <w:pPr>
        <w:pStyle w:val="3"/>
        <w:jc w:val="both"/>
        <w:rPr>
          <w:rFonts w:hint="cs"/>
          <w:rtl/>
        </w:rPr>
      </w:pPr>
      <w:r>
        <w:rPr>
          <w:rFonts w:hint="cs"/>
          <w:rtl/>
        </w:rPr>
        <w:t>اشاره</w:t>
      </w:r>
    </w:p>
    <w:p w:rsidR="0091112E" w:rsidRPr="00840D00" w:rsidRDefault="0091112E" w:rsidP="00840D00">
      <w:pPr>
        <w:jc w:val="both"/>
        <w:rPr>
          <w:rtl/>
        </w:rPr>
      </w:pPr>
      <w:r w:rsidRPr="00840D00">
        <w:rPr>
          <w:rFonts w:hint="cs"/>
          <w:rtl/>
        </w:rPr>
        <w:t xml:space="preserve">بحث در اقتضاء النهی لفساد العباده بود که </w:t>
      </w:r>
      <w:r w:rsidRPr="00840D00">
        <w:rPr>
          <w:rtl/>
        </w:rPr>
        <w:t xml:space="preserve">مبحث اول </w:t>
      </w:r>
      <w:r w:rsidRPr="00840D00">
        <w:rPr>
          <w:rFonts w:hint="cs"/>
          <w:rtl/>
        </w:rPr>
        <w:t xml:space="preserve">آن </w:t>
      </w:r>
      <w:r w:rsidRPr="00840D00">
        <w:rPr>
          <w:rtl/>
        </w:rPr>
        <w:t xml:space="preserve">بحث </w:t>
      </w:r>
      <w:r w:rsidR="00840D00">
        <w:rPr>
          <w:rtl/>
        </w:rPr>
        <w:t>شد و گفته شد که در ذیل آن تکمله</w:t>
      </w:r>
      <w:r w:rsidR="00840D00">
        <w:rPr>
          <w:rFonts w:hint="cs"/>
          <w:rtl/>
        </w:rPr>
        <w:t>‌</w:t>
      </w:r>
      <w:r w:rsidRPr="00840D00">
        <w:rPr>
          <w:rtl/>
        </w:rPr>
        <w:t>ای از سوی آخوند مطرح شده است و در مقام جواب به آن دو صورت بیان شد که</w:t>
      </w:r>
      <w:r w:rsidR="00840D00">
        <w:rPr>
          <w:rFonts w:hint="cs"/>
          <w:rtl/>
        </w:rPr>
        <w:t xml:space="preserve"> یا</w:t>
      </w:r>
      <w:r w:rsidRPr="00840D00">
        <w:rPr>
          <w:rtl/>
        </w:rPr>
        <w:t xml:space="preserve"> نهی به «عبادتِ بدون قصد» تعلق یافته است و یا اینکه به «عبادتِ با قصد قربت» تعلق یافته است؛ در این حال، حرمت این عبادت از باب تشریع است و اینکه عملی به خدا مستند شده که واقعا</w:t>
      </w:r>
      <w:r w:rsidR="00840D00">
        <w:rPr>
          <w:rFonts w:hint="cs"/>
          <w:rtl/>
        </w:rPr>
        <w:t>ً</w:t>
      </w:r>
      <w:r w:rsidRPr="00840D00">
        <w:rPr>
          <w:rtl/>
        </w:rPr>
        <w:t xml:space="preserve"> از خدا نیست. انجام عمل با وجه عبادی به معنی ادعای دستور بودن آن است در حالی که خدا چنین دستوری نداده است.</w:t>
      </w:r>
    </w:p>
    <w:p w:rsidR="0091112E" w:rsidRPr="00840D00" w:rsidRDefault="0091112E" w:rsidP="00840D00">
      <w:pPr>
        <w:pStyle w:val="4"/>
        <w:rPr>
          <w:rtl/>
        </w:rPr>
      </w:pPr>
      <w:r w:rsidRPr="00840D00">
        <w:rPr>
          <w:rtl/>
        </w:rPr>
        <w:t xml:space="preserve">جمع بندی </w:t>
      </w:r>
    </w:p>
    <w:p w:rsidR="0091112E" w:rsidRPr="00840D00" w:rsidRDefault="0091112E" w:rsidP="00840D00">
      <w:pPr>
        <w:jc w:val="both"/>
        <w:rPr>
          <w:rtl/>
        </w:rPr>
      </w:pPr>
      <w:r w:rsidRPr="00840D00">
        <w:rPr>
          <w:b/>
          <w:bCs/>
          <w:rtl/>
        </w:rPr>
        <w:t>اولا</w:t>
      </w:r>
      <w:r w:rsidR="00840D00" w:rsidRPr="00840D00">
        <w:rPr>
          <w:rFonts w:hint="cs"/>
          <w:b/>
          <w:bCs/>
          <w:rtl/>
        </w:rPr>
        <w:t>ً:</w:t>
      </w:r>
      <w:r w:rsidRPr="00840D00">
        <w:rPr>
          <w:rtl/>
        </w:rPr>
        <w:t xml:space="preserve"> اولی و اظهر همین صورت دوم است که نهی به ذاتِ بدون قصد نخورده است</w:t>
      </w:r>
      <w:r w:rsidR="00840D00">
        <w:rPr>
          <w:rFonts w:hint="cs"/>
          <w:rtl/>
        </w:rPr>
        <w:t>،</w:t>
      </w:r>
      <w:r w:rsidRPr="00840D00">
        <w:rPr>
          <w:rtl/>
        </w:rPr>
        <w:t xml:space="preserve"> بلکه به عمل عبادی خورده است. چراکه ظاهر دلیل این است و در صورت تردید، اطلاقی در دلیل برای شمول اول نیست. نهی به عملی که بناست قربی و عبادی باشد خورده است و نه کالبد عمل!</w:t>
      </w:r>
    </w:p>
    <w:p w:rsidR="0091112E" w:rsidRPr="00840D00" w:rsidRDefault="0091112E" w:rsidP="00840D00">
      <w:pPr>
        <w:jc w:val="both"/>
        <w:rPr>
          <w:rtl/>
        </w:rPr>
      </w:pPr>
      <w:r w:rsidRPr="00840D00">
        <w:rPr>
          <w:b/>
          <w:bCs/>
          <w:rtl/>
        </w:rPr>
        <w:t>ثانیا</w:t>
      </w:r>
      <w:r w:rsidR="00840D00" w:rsidRPr="00840D00">
        <w:rPr>
          <w:rFonts w:hint="cs"/>
          <w:b/>
          <w:bCs/>
          <w:rtl/>
        </w:rPr>
        <w:t>ً:</w:t>
      </w:r>
      <w:r w:rsidRPr="00840D00">
        <w:rPr>
          <w:rtl/>
        </w:rPr>
        <w:t xml:space="preserve"> اگر نهی به صوم عبادی خورده باشد، این محال است چراکه مستلزم دور است؛ «لا تصم» به معنی تشریع نبودن این صوم است و تشریع نبودن آن به معنی نبودن امر در مورد آن است در حالیکه این امر اولا</w:t>
      </w:r>
      <w:r w:rsidR="00840D00">
        <w:rPr>
          <w:rFonts w:hint="cs"/>
          <w:rtl/>
        </w:rPr>
        <w:t>ً</w:t>
      </w:r>
      <w:r w:rsidRPr="00840D00">
        <w:rPr>
          <w:rtl/>
        </w:rPr>
        <w:t xml:space="preserve"> بوده و همان امر موجب عبادت شمردن این عمل شده است. با قطع نظر از این امر و دستور، هیچ تشریعی و بدعتی در این موضوع نیست و پس از آمدن این امر است که نهی از عبادت، انجام آن را </w:t>
      </w:r>
      <w:r w:rsidR="00840D00">
        <w:rPr>
          <w:rtl/>
        </w:rPr>
        <w:t>ممنوع می کند. «لا تصم» خودش نمی</w:t>
      </w:r>
      <w:r w:rsidR="00840D00">
        <w:rPr>
          <w:rFonts w:hint="cs"/>
          <w:rtl/>
        </w:rPr>
        <w:t>‌</w:t>
      </w:r>
      <w:r w:rsidRPr="00840D00">
        <w:rPr>
          <w:rtl/>
        </w:rPr>
        <w:t>تواند ذات این حرمت تشریعی باشد</w:t>
      </w:r>
      <w:r w:rsidR="00840D00">
        <w:rPr>
          <w:rFonts w:hint="cs"/>
          <w:rtl/>
        </w:rPr>
        <w:t>،</w:t>
      </w:r>
      <w:r w:rsidRPr="00840D00">
        <w:rPr>
          <w:rtl/>
        </w:rPr>
        <w:t xml:space="preserve"> بلکه مقدمه</w:t>
      </w:r>
      <w:r w:rsidR="00840D00">
        <w:rPr>
          <w:rFonts w:hint="cs"/>
          <w:rtl/>
        </w:rPr>
        <w:t>‌</w:t>
      </w:r>
      <w:r w:rsidRPr="00840D00">
        <w:rPr>
          <w:rtl/>
        </w:rPr>
        <w:t>ای است برای تحقق یافتن این حرمت تشریعی!</w:t>
      </w:r>
    </w:p>
    <w:p w:rsidR="0091112E" w:rsidRPr="00840D00" w:rsidRDefault="0091112E" w:rsidP="00583C5B">
      <w:pPr>
        <w:jc w:val="both"/>
        <w:rPr>
          <w:rtl/>
        </w:rPr>
      </w:pPr>
      <w:r w:rsidRPr="00840D00">
        <w:rPr>
          <w:b/>
          <w:bCs/>
          <w:rtl/>
        </w:rPr>
        <w:t>ثالثا</w:t>
      </w:r>
      <w:r w:rsidR="00840D00" w:rsidRPr="00840D00">
        <w:rPr>
          <w:rFonts w:hint="cs"/>
          <w:b/>
          <w:bCs/>
          <w:rtl/>
        </w:rPr>
        <w:t>ً:</w:t>
      </w:r>
      <w:r w:rsidRPr="00840D00">
        <w:rPr>
          <w:rtl/>
        </w:rPr>
        <w:t xml:space="preserve"> در این مقام</w:t>
      </w:r>
      <w:r w:rsidR="00583C5B">
        <w:rPr>
          <w:rFonts w:hint="cs"/>
          <w:rtl/>
        </w:rPr>
        <w:t>،</w:t>
      </w:r>
      <w:r w:rsidRPr="00840D00">
        <w:rPr>
          <w:rtl/>
        </w:rPr>
        <w:t xml:space="preserve"> </w:t>
      </w:r>
      <w:r w:rsidR="00583C5B" w:rsidRPr="00840D00">
        <w:rPr>
          <w:rtl/>
        </w:rPr>
        <w:t>دو حرمت است</w:t>
      </w:r>
      <w:r w:rsidR="00583C5B">
        <w:rPr>
          <w:rFonts w:hint="cs"/>
          <w:rtl/>
        </w:rPr>
        <w:t>؛</w:t>
      </w:r>
      <w:r w:rsidR="00583C5B" w:rsidRPr="00840D00">
        <w:rPr>
          <w:rtl/>
        </w:rPr>
        <w:t xml:space="preserve"> </w:t>
      </w:r>
      <w:r w:rsidRPr="00840D00">
        <w:rPr>
          <w:rtl/>
        </w:rPr>
        <w:t>یک حرمت قبل از تشریع و یک حرمت پس از آن، تشریع و بدعت این است که در عین عدم الامر، ادعای امر به عمل عبادی شود</w:t>
      </w:r>
      <w:r w:rsidR="00583C5B">
        <w:rPr>
          <w:rFonts w:hint="cs"/>
          <w:rtl/>
        </w:rPr>
        <w:t>،</w:t>
      </w:r>
      <w:r w:rsidRPr="00840D00">
        <w:rPr>
          <w:rtl/>
        </w:rPr>
        <w:t xml:space="preserve"> ولی حرمت دیگر، یک حرمت بالاتر است و آن اینکه یک مبغوضیت ذاتی دارد که مولا از انجام این عمل نهی کرده است؛ این فراتر از آن بدعت</w:t>
      </w:r>
      <w:r w:rsidR="00583C5B">
        <w:rPr>
          <w:rFonts w:hint="cs"/>
          <w:rtl/>
        </w:rPr>
        <w:t xml:space="preserve">ی </w:t>
      </w:r>
      <w:r w:rsidR="00583C5B">
        <w:rPr>
          <w:rFonts w:hint="cs"/>
          <w:rtl/>
        </w:rPr>
        <w:lastRenderedPageBreak/>
        <w:t>است که</w:t>
      </w:r>
      <w:r w:rsidR="00583C5B">
        <w:rPr>
          <w:rtl/>
        </w:rPr>
        <w:t xml:space="preserve"> فقط در مورد آن امر نباشد؛ گاهی در مورد عملی که می</w:t>
      </w:r>
      <w:r w:rsidR="00583C5B">
        <w:rPr>
          <w:rFonts w:hint="cs"/>
          <w:rtl/>
        </w:rPr>
        <w:t>‌</w:t>
      </w:r>
      <w:r w:rsidRPr="00840D00">
        <w:rPr>
          <w:rtl/>
        </w:rPr>
        <w:t>خواهد عبادی باشد، امر صادر نشده است و گاهی نهی از آن آمده است که دومی أشدّ و آکد است. با نهی از عبادت، یک حرمت مربوط به خود ارتکاب نهی می</w:t>
      </w:r>
      <w:r w:rsidR="00583C5B">
        <w:rPr>
          <w:rFonts w:hint="cs"/>
          <w:rtl/>
        </w:rPr>
        <w:t>‌</w:t>
      </w:r>
      <w:r w:rsidRPr="00840D00">
        <w:rPr>
          <w:rtl/>
        </w:rPr>
        <w:t>شود و یک حرمت مربوط به ارتکاب عملی عبادی می</w:t>
      </w:r>
      <w:r w:rsidR="00583C5B">
        <w:rPr>
          <w:rFonts w:hint="cs"/>
          <w:rtl/>
        </w:rPr>
        <w:t>‌</w:t>
      </w:r>
      <w:r w:rsidRPr="00840D00">
        <w:rPr>
          <w:rtl/>
        </w:rPr>
        <w:t>شود که امر نداشته و در عین حال ادعای امر شده و انجامش مصداق بدعت است. اتیان عمل بدون امر مستندا</w:t>
      </w:r>
      <w:r w:rsidR="00583C5B">
        <w:rPr>
          <w:rFonts w:hint="cs"/>
          <w:rtl/>
        </w:rPr>
        <w:t>ً</w:t>
      </w:r>
      <w:r w:rsidRPr="00840D00">
        <w:rPr>
          <w:rtl/>
        </w:rPr>
        <w:t xml:space="preserve"> الی الله حرام است و ارتکاب منهی الهی هم حرام است و این دو عنوان محرم در یک مورد با هم جمع شده</w:t>
      </w:r>
      <w:r w:rsidR="00583C5B">
        <w:rPr>
          <w:rFonts w:hint="cs"/>
          <w:rtl/>
        </w:rPr>
        <w:t>‌</w:t>
      </w:r>
      <w:r w:rsidRPr="00840D00">
        <w:rPr>
          <w:rtl/>
        </w:rPr>
        <w:t>اند.</w:t>
      </w:r>
    </w:p>
    <w:p w:rsidR="0091112E" w:rsidRPr="00840D00" w:rsidRDefault="0091112E" w:rsidP="00F423EF">
      <w:pPr>
        <w:jc w:val="both"/>
        <w:rPr>
          <w:rtl/>
        </w:rPr>
      </w:pPr>
      <w:r w:rsidRPr="00583C5B">
        <w:rPr>
          <w:b/>
          <w:bCs/>
          <w:rtl/>
        </w:rPr>
        <w:t>رابعا</w:t>
      </w:r>
      <w:r w:rsidR="00583C5B" w:rsidRPr="00583C5B">
        <w:rPr>
          <w:rFonts w:hint="cs"/>
          <w:b/>
          <w:bCs/>
          <w:rtl/>
        </w:rPr>
        <w:t>ً:</w:t>
      </w:r>
      <w:r w:rsidRPr="00840D00">
        <w:rPr>
          <w:rtl/>
        </w:rPr>
        <w:t xml:space="preserve"> این اشکالات مبتنی بر این است که دو حکم نتوانند </w:t>
      </w:r>
      <w:r w:rsidR="00F423EF">
        <w:rPr>
          <w:rFonts w:hint="cs"/>
          <w:rtl/>
        </w:rPr>
        <w:t xml:space="preserve">با هم </w:t>
      </w:r>
      <w:r w:rsidRPr="00840D00">
        <w:rPr>
          <w:rtl/>
        </w:rPr>
        <w:t>جمع شوند</w:t>
      </w:r>
      <w:r w:rsidR="00F423EF">
        <w:rPr>
          <w:rFonts w:hint="cs"/>
          <w:rtl/>
        </w:rPr>
        <w:t>،</w:t>
      </w:r>
      <w:r w:rsidRPr="00840D00">
        <w:rPr>
          <w:rtl/>
        </w:rPr>
        <w:t xml:space="preserve"> ولی این اجتماع را ما قبول داریم و لو به این که این دو حکم، دو حیث اتحادی داشته باشند.</w:t>
      </w:r>
    </w:p>
    <w:p w:rsidR="0091112E" w:rsidRPr="00840D00" w:rsidRDefault="0091112E" w:rsidP="00F423EF">
      <w:pPr>
        <w:jc w:val="both"/>
        <w:rPr>
          <w:rtl/>
        </w:rPr>
      </w:pPr>
      <w:r w:rsidRPr="00F423EF">
        <w:rPr>
          <w:b/>
          <w:bCs/>
          <w:rtl/>
        </w:rPr>
        <w:t>خامسا</w:t>
      </w:r>
      <w:r w:rsidR="00F423EF" w:rsidRPr="00F423EF">
        <w:rPr>
          <w:rFonts w:hint="cs"/>
          <w:b/>
          <w:bCs/>
          <w:rtl/>
        </w:rPr>
        <w:t>ً:</w:t>
      </w:r>
      <w:r w:rsidRPr="00840D00">
        <w:rPr>
          <w:rtl/>
        </w:rPr>
        <w:t xml:space="preserve"> با قبول اینکه تشریع حرام است؛ متعلق حرمت در آن تشری</w:t>
      </w:r>
      <w:r w:rsidR="00F423EF">
        <w:rPr>
          <w:rtl/>
        </w:rPr>
        <w:t>ع و بدعت چیست؟ اگر مرتاضی عبادت</w:t>
      </w:r>
      <w:r w:rsidRPr="00840D00">
        <w:rPr>
          <w:rtl/>
        </w:rPr>
        <w:t xml:space="preserve"> خود ساخته را ملتزم شود، این تشریع حرام است. آنچه در این مور</w:t>
      </w:r>
      <w:r w:rsidR="00F423EF">
        <w:rPr>
          <w:rtl/>
        </w:rPr>
        <w:t>د حرام است و متعلق حرمت قرار می</w:t>
      </w:r>
      <w:r w:rsidR="00F423EF">
        <w:rPr>
          <w:rFonts w:hint="cs"/>
          <w:rtl/>
        </w:rPr>
        <w:t>‌</w:t>
      </w:r>
      <w:r w:rsidRPr="00840D00">
        <w:rPr>
          <w:rtl/>
        </w:rPr>
        <w:t xml:space="preserve">گیرد چیست؟ </w:t>
      </w:r>
    </w:p>
    <w:p w:rsidR="0091112E" w:rsidRPr="00840D00" w:rsidRDefault="0091112E" w:rsidP="00840D00">
      <w:pPr>
        <w:jc w:val="both"/>
        <w:rPr>
          <w:rtl/>
        </w:rPr>
      </w:pPr>
      <w:r w:rsidRPr="00840D00">
        <w:rPr>
          <w:rtl/>
        </w:rPr>
        <w:t>الف: امر قلبی «استناد عمل به خدا» که مشهور این قول را قائل است</w:t>
      </w:r>
      <w:r w:rsidR="00F423EF">
        <w:rPr>
          <w:rFonts w:hint="cs"/>
          <w:rtl/>
        </w:rPr>
        <w:t>،</w:t>
      </w:r>
    </w:p>
    <w:p w:rsidR="0091112E" w:rsidRPr="00840D00" w:rsidRDefault="0091112E" w:rsidP="00840D00">
      <w:pPr>
        <w:jc w:val="both"/>
        <w:rPr>
          <w:rtl/>
        </w:rPr>
      </w:pPr>
      <w:r w:rsidRPr="00840D00">
        <w:rPr>
          <w:rtl/>
        </w:rPr>
        <w:t>ب: (مرحوم تبریزی) حرمت</w:t>
      </w:r>
      <w:r w:rsidR="00F423EF">
        <w:rPr>
          <w:rtl/>
        </w:rPr>
        <w:t>ِ تشریع، به خود فعل هم سرایت می</w:t>
      </w:r>
      <w:r w:rsidR="00F423EF">
        <w:rPr>
          <w:rFonts w:hint="cs"/>
          <w:rtl/>
        </w:rPr>
        <w:t>‌</w:t>
      </w:r>
      <w:r w:rsidRPr="00840D00">
        <w:rPr>
          <w:rtl/>
        </w:rPr>
        <w:t>کند؛ چراکه «افتراء علی الله» یک موقع در قلب است و یک موقع در زبان و یک موقع در عمل به ارکان است که گاهی تشر</w:t>
      </w:r>
      <w:r w:rsidR="00F423EF">
        <w:rPr>
          <w:rtl/>
        </w:rPr>
        <w:t>یع و بدعت، مصداق عمل افترائی می</w:t>
      </w:r>
      <w:r w:rsidR="00F423EF">
        <w:rPr>
          <w:rFonts w:hint="cs"/>
          <w:rtl/>
        </w:rPr>
        <w:t>‌</w:t>
      </w:r>
      <w:r w:rsidRPr="00840D00">
        <w:rPr>
          <w:rtl/>
        </w:rPr>
        <w:t xml:space="preserve">شود. شبیه این بحث در تجری و انقیاد هم هست. </w:t>
      </w:r>
    </w:p>
    <w:p w:rsidR="0091112E" w:rsidRPr="00840D00" w:rsidRDefault="0091112E" w:rsidP="00840D00">
      <w:pPr>
        <w:jc w:val="both"/>
        <w:rPr>
          <w:rtl/>
        </w:rPr>
      </w:pPr>
      <w:r w:rsidRPr="00840D00">
        <w:rPr>
          <w:rtl/>
        </w:rPr>
        <w:t>البته در این میان، اظهر همان احتمال دوم است که عملی که اذن الهی ندارد، خود آ</w:t>
      </w:r>
      <w:r w:rsidR="00F423EF">
        <w:rPr>
          <w:rtl/>
        </w:rPr>
        <w:t>ن عمل حرام است و نه استناد قلبی</w:t>
      </w:r>
      <w:r w:rsidR="00F423EF">
        <w:rPr>
          <w:rFonts w:hint="cs"/>
          <w:rtl/>
        </w:rPr>
        <w:t>‌</w:t>
      </w:r>
      <w:r w:rsidRPr="00840D00">
        <w:rPr>
          <w:rtl/>
        </w:rPr>
        <w:t xml:space="preserve">اش. </w:t>
      </w:r>
    </w:p>
    <w:p w:rsidR="0091112E" w:rsidRPr="00840D00" w:rsidRDefault="0091112E" w:rsidP="00F423EF">
      <w:pPr>
        <w:jc w:val="both"/>
        <w:rPr>
          <w:rtl/>
        </w:rPr>
      </w:pPr>
      <w:r w:rsidRPr="00F423EF">
        <w:rPr>
          <w:b/>
          <w:bCs/>
          <w:rtl/>
        </w:rPr>
        <w:t>سادسا</w:t>
      </w:r>
      <w:r w:rsidR="00F423EF" w:rsidRPr="00F423EF">
        <w:rPr>
          <w:rFonts w:hint="cs"/>
          <w:b/>
          <w:bCs/>
          <w:rtl/>
        </w:rPr>
        <w:t>ً:</w:t>
      </w:r>
      <w:r w:rsidRPr="00840D00">
        <w:rPr>
          <w:rtl/>
        </w:rPr>
        <w:t xml:space="preserve"> همیشه چنین نیست که این نهی از عبادت ملازم با تشریع باشد</w:t>
      </w:r>
      <w:r w:rsidR="00F423EF">
        <w:rPr>
          <w:rFonts w:hint="cs"/>
          <w:rtl/>
        </w:rPr>
        <w:t>؛</w:t>
      </w:r>
      <w:r w:rsidRPr="00840D00">
        <w:rPr>
          <w:rtl/>
        </w:rPr>
        <w:t xml:space="preserve"> چراکه تشریع یعنی عمل مستقل و استناد آن به خدا است</w:t>
      </w:r>
      <w:r w:rsidR="00F423EF">
        <w:rPr>
          <w:rFonts w:hint="cs"/>
          <w:rtl/>
        </w:rPr>
        <w:t>،</w:t>
      </w:r>
      <w:r w:rsidR="00F423EF">
        <w:rPr>
          <w:rtl/>
        </w:rPr>
        <w:t xml:space="preserve"> ولی می</w:t>
      </w:r>
      <w:r w:rsidR="00F423EF">
        <w:rPr>
          <w:rFonts w:hint="cs"/>
          <w:rtl/>
        </w:rPr>
        <w:t>‌</w:t>
      </w:r>
      <w:r w:rsidRPr="00840D00">
        <w:rPr>
          <w:rtl/>
        </w:rPr>
        <w:t>توان همین عمل را رجائاً به جا آورد و گرفتار حرمت تشریع نشد</w:t>
      </w:r>
      <w:r w:rsidR="00F423EF">
        <w:rPr>
          <w:rFonts w:hint="cs"/>
          <w:rtl/>
        </w:rPr>
        <w:t>،</w:t>
      </w:r>
      <w:r w:rsidRPr="00840D00">
        <w:rPr>
          <w:rtl/>
        </w:rPr>
        <w:t xml:space="preserve"> </w:t>
      </w:r>
      <w:bookmarkStart w:id="0" w:name="_GoBack"/>
      <w:bookmarkEnd w:id="0"/>
      <w:r w:rsidRPr="00840D00">
        <w:rPr>
          <w:rtl/>
        </w:rPr>
        <w:t xml:space="preserve">اشکالی </w:t>
      </w:r>
      <w:r w:rsidRPr="00840D00">
        <w:rPr>
          <w:rtl/>
        </w:rPr>
        <w:lastRenderedPageBreak/>
        <w:t>در این مورد وجود دارد که قصد رجاء می</w:t>
      </w:r>
      <w:r w:rsidR="00F423EF">
        <w:rPr>
          <w:rFonts w:hint="cs"/>
          <w:rtl/>
        </w:rPr>
        <w:t>‌</w:t>
      </w:r>
      <w:r w:rsidRPr="00840D00">
        <w:rPr>
          <w:rtl/>
        </w:rPr>
        <w:t>تواند تشریع نباشد</w:t>
      </w:r>
      <w:r w:rsidR="00F423EF">
        <w:rPr>
          <w:rFonts w:hint="cs"/>
          <w:rtl/>
        </w:rPr>
        <w:t>،</w:t>
      </w:r>
      <w:r w:rsidRPr="00840D00">
        <w:rPr>
          <w:rtl/>
        </w:rPr>
        <w:t xml:space="preserve"> ولی در مورد محل بحث، قصد رجاء ممکن نیست</w:t>
      </w:r>
      <w:r w:rsidR="00F423EF">
        <w:rPr>
          <w:rFonts w:hint="cs"/>
          <w:rtl/>
        </w:rPr>
        <w:t>،</w:t>
      </w:r>
      <w:r w:rsidRPr="00840D00">
        <w:rPr>
          <w:rtl/>
        </w:rPr>
        <w:t xml:space="preserve"> چراکه در مورد آن عمل</w:t>
      </w:r>
      <w:r w:rsidR="00F423EF">
        <w:rPr>
          <w:rFonts w:hint="cs"/>
          <w:rtl/>
        </w:rPr>
        <w:t>،</w:t>
      </w:r>
      <w:r w:rsidRPr="00840D00">
        <w:rPr>
          <w:rtl/>
        </w:rPr>
        <w:t xml:space="preserve"> </w:t>
      </w:r>
      <w:r w:rsidR="00F423EF" w:rsidRPr="00840D00">
        <w:rPr>
          <w:rtl/>
        </w:rPr>
        <w:t xml:space="preserve">نهی </w:t>
      </w:r>
      <w:r w:rsidR="00F423EF">
        <w:rPr>
          <w:rtl/>
        </w:rPr>
        <w:t>آمده است و فرد نمی</w:t>
      </w:r>
      <w:r w:rsidR="00F423EF">
        <w:rPr>
          <w:rFonts w:hint="cs"/>
          <w:rtl/>
        </w:rPr>
        <w:t>‌</w:t>
      </w:r>
      <w:r w:rsidRPr="00840D00">
        <w:rPr>
          <w:rtl/>
        </w:rPr>
        <w:t>تواند در مورد آن عمل حتی نیت رجاء کند.</w:t>
      </w:r>
    </w:p>
    <w:p w:rsidR="00A16F2C" w:rsidRPr="00840D00" w:rsidRDefault="00A16F2C" w:rsidP="00840D00">
      <w:pPr>
        <w:jc w:val="both"/>
      </w:pPr>
    </w:p>
    <w:p w:rsidR="00152670" w:rsidRPr="00840D00" w:rsidRDefault="00152670" w:rsidP="00840D00">
      <w:pPr>
        <w:jc w:val="both"/>
      </w:pPr>
    </w:p>
    <w:p w:rsidR="00A16F2C" w:rsidRPr="00840D00" w:rsidRDefault="00A16F2C" w:rsidP="00840D00">
      <w:pPr>
        <w:jc w:val="both"/>
      </w:pPr>
    </w:p>
    <w:sectPr w:rsidR="00A16F2C" w:rsidRPr="00840D00" w:rsidSect="00EA71A7">
      <w:headerReference w:type="default" r:id="rId6"/>
      <w:footerReference w:type="default" r:id="rId7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89" w:rsidRDefault="006C2F89" w:rsidP="00E83C2C">
      <w:pPr>
        <w:spacing w:after="0"/>
      </w:pPr>
      <w:r>
        <w:separator/>
      </w:r>
    </w:p>
  </w:endnote>
  <w:endnote w:type="continuationSeparator" w:id="0">
    <w:p w:rsidR="006C2F89" w:rsidRDefault="006C2F89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3E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89" w:rsidRDefault="006C2F89" w:rsidP="00E83C2C">
      <w:pPr>
        <w:spacing w:after="0"/>
      </w:pPr>
      <w:r>
        <w:separator/>
      </w:r>
    </w:p>
  </w:footnote>
  <w:footnote w:type="continuationSeparator" w:id="0">
    <w:p w:rsidR="006C2F89" w:rsidRDefault="006C2F89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840D00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94AAA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840D00">
      <w:rPr>
        <w:rFonts w:ascii="Adobe Arabic" w:hAnsi="Adobe Arabic" w:cs="Adobe Arabic"/>
        <w:sz w:val="28"/>
        <w:szCs w:val="28"/>
        <w:rtl/>
      </w:rPr>
      <w:t xml:space="preserve"> </w:t>
    </w:r>
    <w:r w:rsidR="00840D00">
      <w:rPr>
        <w:rFonts w:ascii="Adobe Arabic" w:hAnsi="Adobe Arabic" w:cs="Adobe Arabic" w:hint="cs"/>
        <w:sz w:val="28"/>
        <w:szCs w:val="28"/>
        <w:rtl/>
      </w:rPr>
      <w:t>اقتضاءالنهی للفساد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تاریخ جلسه: </w:t>
    </w:r>
    <w:r w:rsidR="00840D00">
      <w:rPr>
        <w:rFonts w:ascii="Adobe Arabic" w:hAnsi="Adobe Arabic" w:cs="Adobe Arabic" w:hint="cs"/>
        <w:sz w:val="28"/>
        <w:szCs w:val="28"/>
        <w:rtl/>
      </w:rPr>
      <w:t>29/11/1393</w:t>
    </w:r>
  </w:p>
  <w:p w:rsidR="0043035D" w:rsidRPr="00B46EB8" w:rsidRDefault="00B46EB8" w:rsidP="00840D00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="00840D0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840D00">
      <w:rPr>
        <w:rFonts w:ascii="Adobe Arabic" w:hAnsi="Adobe Arabic" w:cs="Adobe Arabic" w:hint="cs"/>
        <w:sz w:val="28"/>
        <w:szCs w:val="28"/>
        <w:rtl/>
      </w:rPr>
      <w:t>مقدمات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          </w:t>
    </w:r>
    <w:r w:rsidR="0074232A"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840D00">
      <w:rPr>
        <w:rFonts w:ascii="Adobe Arabic" w:hAnsi="Adobe Arabic" w:cs="Adobe Arabic" w:hint="cs"/>
        <w:sz w:val="28"/>
        <w:szCs w:val="28"/>
        <w:rtl/>
      </w:rPr>
      <w:t xml:space="preserve"> 61</w:t>
    </w:r>
  </w:p>
  <w:p w:rsidR="000D5800" w:rsidRPr="00F52F75" w:rsidRDefault="006C2F89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2E"/>
    <w:rsid w:val="000324F1"/>
    <w:rsid w:val="00052BA3"/>
    <w:rsid w:val="0006363E"/>
    <w:rsid w:val="00063686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B337F"/>
    <w:rsid w:val="004C1CDA"/>
    <w:rsid w:val="004F3596"/>
    <w:rsid w:val="00522BCE"/>
    <w:rsid w:val="00533B0E"/>
    <w:rsid w:val="00572E2D"/>
    <w:rsid w:val="00583C5B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9696C"/>
    <w:rsid w:val="006A085A"/>
    <w:rsid w:val="006C2F89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0D00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F63E3"/>
    <w:rsid w:val="0091112E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16F2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EB8"/>
    <w:rsid w:val="00B63F15"/>
    <w:rsid w:val="00BB5F7E"/>
    <w:rsid w:val="00BD3122"/>
    <w:rsid w:val="00BD40DA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23EF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C8B13E3-20F1-41A1-B945-9A0312EB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840D00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840D00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840D00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840D00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840D00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40D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D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D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840D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840D00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40D00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40D00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40D00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40D00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840D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 w:line="240" w:lineRule="auto"/>
      <w:contextualSpacing/>
      <w:jc w:val="both"/>
    </w:pPr>
    <w:rPr>
      <w:rFonts w:ascii="2  Badr" w:eastAsiaTheme="minorEastAsia" w:hAnsi="2  Badr"/>
      <w:sz w:val="32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 w:line="240" w:lineRule="auto"/>
      <w:ind w:left="221" w:firstLine="284"/>
      <w:contextualSpacing/>
      <w:jc w:val="both"/>
    </w:pPr>
    <w:rPr>
      <w:rFonts w:ascii="2  Badr" w:eastAsiaTheme="minorEastAsia" w:hAnsi="2  Badr"/>
      <w:sz w:val="32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 w:line="240" w:lineRule="auto"/>
      <w:ind w:left="442" w:firstLine="284"/>
      <w:contextualSpacing/>
      <w:jc w:val="both"/>
    </w:pPr>
    <w:rPr>
      <w:rFonts w:ascii="2  Badr" w:eastAsia="2  Lotus" w:hAnsi="2  Badr"/>
      <w:sz w:val="32"/>
    </w:rPr>
  </w:style>
  <w:style w:type="character" w:styleId="a5">
    <w:name w:val="Subtle Reference"/>
    <w:aliases w:val="مرجع"/>
    <w:uiPriority w:val="31"/>
    <w:qFormat/>
    <w:rsid w:val="00840D00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840D0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840D00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840D0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840D00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840D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840D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40D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40D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ascii="2  Badr" w:eastAsia="Calibri" w:hAnsi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 w:line="240" w:lineRule="auto"/>
      <w:ind w:left="658" w:firstLine="284"/>
      <w:contextualSpacing/>
      <w:jc w:val="both"/>
    </w:pPr>
    <w:rPr>
      <w:rFonts w:ascii="2  Badr" w:eastAsia="Calibri" w:hAnsi="2  Badr"/>
      <w:sz w:val="32"/>
    </w:r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 w:line="240" w:lineRule="auto"/>
      <w:ind w:left="879" w:firstLine="284"/>
      <w:contextualSpacing/>
      <w:jc w:val="both"/>
    </w:pPr>
    <w:rPr>
      <w:rFonts w:ascii="2  Badr" w:eastAsia="Calibri" w:hAnsi="2  Badr"/>
      <w:sz w:val="32"/>
    </w:r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 w:line="240" w:lineRule="auto"/>
      <w:ind w:left="1100" w:firstLine="284"/>
      <w:contextualSpacing/>
      <w:jc w:val="both"/>
    </w:pPr>
    <w:rPr>
      <w:rFonts w:ascii="2  Badr" w:eastAsia="Calibri" w:hAnsi="2  Badr"/>
      <w:sz w:val="32"/>
    </w:r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 w:line="240" w:lineRule="auto"/>
      <w:ind w:left="1321" w:firstLine="284"/>
      <w:contextualSpacing/>
      <w:jc w:val="both"/>
    </w:pPr>
    <w:rPr>
      <w:rFonts w:ascii="2  Badr" w:eastAsia="Calibri" w:hAnsi="2  Badr"/>
      <w:sz w:val="32"/>
    </w:rPr>
  </w:style>
  <w:style w:type="paragraph" w:styleId="ab">
    <w:name w:val="caption"/>
    <w:basedOn w:val="a"/>
    <w:next w:val="a"/>
    <w:uiPriority w:val="35"/>
    <w:semiHidden/>
    <w:unhideWhenUsed/>
    <w:qFormat/>
    <w:rsid w:val="00840D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840D0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840D00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840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840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840D00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840D00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840D00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840D00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840D00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840D00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40D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840D00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840D00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840D00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Times New Roman" w:hAnsi="2  Badr"/>
      <w:sz w:val="32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Calibri" w:hAnsi="2  Badr"/>
      <w:sz w:val="32"/>
    </w:r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5;&#1608;&#1585;%20&#1580;&#1575;&#1585;&#1740;%20&#1575;&#1588;&#1585;&#1575;&#1602;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</Template>
  <TotalTime>27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3</cp:revision>
  <dcterms:created xsi:type="dcterms:W3CDTF">2015-02-18T05:17:00Z</dcterms:created>
  <dcterms:modified xsi:type="dcterms:W3CDTF">2015-02-18T07:49:00Z</dcterms:modified>
</cp:coreProperties>
</file>