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130" w:rsidRPr="006D75B0" w:rsidRDefault="00DC1130" w:rsidP="006D75B0">
      <w:pPr>
        <w:pStyle w:val="3"/>
        <w:jc w:val="both"/>
        <w:rPr>
          <w:rtl/>
        </w:rPr>
      </w:pPr>
      <w:r w:rsidRPr="006D75B0">
        <w:rPr>
          <w:rtl/>
        </w:rPr>
        <w:t>اشاره</w:t>
      </w:r>
    </w:p>
    <w:p w:rsidR="00DC1130" w:rsidRPr="006D75B0" w:rsidRDefault="00DC1130" w:rsidP="006D75B0">
      <w:pPr>
        <w:jc w:val="both"/>
        <w:rPr>
          <w:rtl/>
        </w:rPr>
      </w:pPr>
      <w:r w:rsidRPr="006D75B0">
        <w:rPr>
          <w:rtl/>
        </w:rPr>
        <w:t>بحث در مقام دوم از مسأله اقتضاء النهی للفساد بود که مبحث اول از مباحث سه گانه آن در صدد بررسی اقتضاء نهی از سبب معامله برای فساد آن معامله بود و بیان شد که مشهور قائل است که نهی موجب فساد نیست</w:t>
      </w:r>
      <w:r w:rsidR="006D75B0">
        <w:rPr>
          <w:rFonts w:hint="cs"/>
          <w:rtl/>
        </w:rPr>
        <w:t>،</w:t>
      </w:r>
      <w:r w:rsidRPr="006D75B0">
        <w:rPr>
          <w:rtl/>
        </w:rPr>
        <w:t xml:space="preserve"> ولی بنا بر نظر مختار تأملی در این زمینه بود که بیان کردیم.</w:t>
      </w:r>
    </w:p>
    <w:p w:rsidR="006D75B0" w:rsidRDefault="00DC1130" w:rsidP="006D75B0">
      <w:pPr>
        <w:jc w:val="both"/>
        <w:rPr>
          <w:b/>
          <w:bCs/>
          <w:rtl/>
        </w:rPr>
      </w:pPr>
      <w:r w:rsidRPr="006D75B0">
        <w:rPr>
          <w:b/>
          <w:bCs/>
          <w:rtl/>
        </w:rPr>
        <w:t>مبحث دوم:</w:t>
      </w:r>
      <w:r w:rsidR="006D75B0">
        <w:rPr>
          <w:rFonts w:hint="cs"/>
          <w:b/>
          <w:bCs/>
          <w:rtl/>
        </w:rPr>
        <w:t xml:space="preserve"> تعلق نهی به مسبب </w:t>
      </w:r>
    </w:p>
    <w:p w:rsidR="00DC1130" w:rsidRPr="006D75B0" w:rsidRDefault="00DC1130" w:rsidP="006D75B0">
      <w:pPr>
        <w:jc w:val="both"/>
        <w:rPr>
          <w:rtl/>
        </w:rPr>
      </w:pPr>
      <w:r w:rsidRPr="006D75B0">
        <w:rPr>
          <w:rtl/>
        </w:rPr>
        <w:t xml:space="preserve"> </w:t>
      </w:r>
      <w:r w:rsidR="006D75B0">
        <w:rPr>
          <w:rFonts w:hint="cs"/>
          <w:rtl/>
        </w:rPr>
        <w:t xml:space="preserve">در این مبحث </w:t>
      </w:r>
      <w:r w:rsidRPr="006D75B0">
        <w:rPr>
          <w:rtl/>
        </w:rPr>
        <w:t xml:space="preserve">نهی به مسبب </w:t>
      </w:r>
      <w:r w:rsidR="006D75B0">
        <w:rPr>
          <w:rFonts w:hint="cs"/>
          <w:rtl/>
        </w:rPr>
        <w:t>می‌خورد</w:t>
      </w:r>
      <w:r w:rsidRPr="006D75B0">
        <w:rPr>
          <w:rtl/>
        </w:rPr>
        <w:t xml:space="preserve"> و معلول نهی </w:t>
      </w:r>
      <w:r w:rsidR="006D75B0">
        <w:rPr>
          <w:rFonts w:hint="cs"/>
          <w:rtl/>
        </w:rPr>
        <w:t>می‌</w:t>
      </w:r>
      <w:r w:rsidRPr="006D75B0">
        <w:rPr>
          <w:rtl/>
        </w:rPr>
        <w:t>شود</w:t>
      </w:r>
      <w:r w:rsidR="006D75B0">
        <w:rPr>
          <w:rFonts w:hint="cs"/>
          <w:rtl/>
        </w:rPr>
        <w:t>،</w:t>
      </w:r>
      <w:r w:rsidRPr="006D75B0">
        <w:rPr>
          <w:rtl/>
        </w:rPr>
        <w:t xml:space="preserve"> مثل «لا تملک الکافر المصحف» و یا «لا تتملک اباک» و ... که در آنها نهی به محصول عقد و ملکیت</w:t>
      </w:r>
      <w:r w:rsidR="006D75B0">
        <w:rPr>
          <w:rFonts w:hint="cs"/>
          <w:rtl/>
        </w:rPr>
        <w:t>،</w:t>
      </w:r>
      <w:r w:rsidRPr="006D75B0">
        <w:rPr>
          <w:rtl/>
        </w:rPr>
        <w:t xml:space="preserve"> </w:t>
      </w:r>
      <w:r w:rsidR="006D75B0" w:rsidRPr="006D75B0">
        <w:rPr>
          <w:rtl/>
        </w:rPr>
        <w:t>تعلق</w:t>
      </w:r>
      <w:r w:rsidR="006D75B0" w:rsidRPr="006D75B0">
        <w:rPr>
          <w:rtl/>
        </w:rPr>
        <w:t xml:space="preserve"> </w:t>
      </w:r>
      <w:r w:rsidRPr="006D75B0">
        <w:rPr>
          <w:rtl/>
        </w:rPr>
        <w:t>یافته است</w:t>
      </w:r>
      <w:r w:rsidR="006D75B0">
        <w:rPr>
          <w:rFonts w:hint="cs"/>
          <w:rtl/>
        </w:rPr>
        <w:t>.</w:t>
      </w:r>
      <w:r w:rsidRPr="006D75B0">
        <w:rPr>
          <w:rtl/>
        </w:rPr>
        <w:t xml:space="preserve"> در اینجا به خلاف مبحث اول که متفق علیه بود سه قول است؛</w:t>
      </w:r>
    </w:p>
    <w:p w:rsidR="00DC1130" w:rsidRPr="00A06D4B" w:rsidRDefault="006D75B0" w:rsidP="009E377F">
      <w:pPr>
        <w:jc w:val="both"/>
        <w:rPr>
          <w:b/>
          <w:bCs/>
          <w:rtl/>
        </w:rPr>
      </w:pPr>
      <w:r w:rsidRPr="00A06D4B">
        <w:rPr>
          <w:rFonts w:hint="cs"/>
          <w:b/>
          <w:bCs/>
          <w:rtl/>
        </w:rPr>
        <w:t xml:space="preserve">1. </w:t>
      </w:r>
      <w:r w:rsidR="00DC1130" w:rsidRPr="00A06D4B">
        <w:rPr>
          <w:b/>
          <w:bCs/>
          <w:rtl/>
        </w:rPr>
        <w:t xml:space="preserve">صاحب کفایه و مشهور قائلند که نهی </w:t>
      </w:r>
      <w:r w:rsidR="009E377F" w:rsidRPr="00A06D4B">
        <w:rPr>
          <w:b/>
          <w:bCs/>
          <w:rtl/>
        </w:rPr>
        <w:t>مطلقا</w:t>
      </w:r>
      <w:r w:rsidR="009E377F" w:rsidRPr="00A06D4B">
        <w:rPr>
          <w:rFonts w:hint="cs"/>
          <w:b/>
          <w:bCs/>
          <w:rtl/>
        </w:rPr>
        <w:t>ً</w:t>
      </w:r>
      <w:r w:rsidR="009E377F" w:rsidRPr="00A06D4B">
        <w:rPr>
          <w:b/>
          <w:bCs/>
          <w:rtl/>
        </w:rPr>
        <w:t xml:space="preserve"> </w:t>
      </w:r>
      <w:r w:rsidR="00DC1130" w:rsidRPr="00A06D4B">
        <w:rPr>
          <w:b/>
          <w:bCs/>
          <w:rtl/>
        </w:rPr>
        <w:t>دال بر فساد نیست</w:t>
      </w:r>
      <w:r w:rsidR="009E377F" w:rsidRPr="00A06D4B">
        <w:rPr>
          <w:rFonts w:hint="cs"/>
          <w:b/>
          <w:bCs/>
          <w:rtl/>
        </w:rPr>
        <w:t>.</w:t>
      </w:r>
      <w:r w:rsidR="00DC1130" w:rsidRPr="00A06D4B">
        <w:rPr>
          <w:b/>
          <w:bCs/>
          <w:rtl/>
        </w:rPr>
        <w:t xml:space="preserve"> </w:t>
      </w:r>
    </w:p>
    <w:p w:rsidR="00DC1130" w:rsidRPr="006D75B0" w:rsidRDefault="00DC1130" w:rsidP="009E377F">
      <w:pPr>
        <w:jc w:val="both"/>
      </w:pPr>
      <w:r w:rsidRPr="006D75B0">
        <w:rPr>
          <w:rtl/>
        </w:rPr>
        <w:t>به نظر ایشان پس از قبول صحت معامله، باید به مقتضای این نهی مولا از مسبب معامله</w:t>
      </w:r>
      <w:r w:rsidR="006D75B0">
        <w:rPr>
          <w:rFonts w:hint="cs"/>
          <w:rtl/>
        </w:rPr>
        <w:t>،</w:t>
      </w:r>
      <w:r w:rsidRPr="006D75B0">
        <w:rPr>
          <w:rtl/>
        </w:rPr>
        <w:t xml:space="preserve"> متعهد شد و در مثل «لا تتملک اباک» پس از قبول تحقق ملکیت،</w:t>
      </w:r>
      <w:r w:rsidR="009E377F">
        <w:rPr>
          <w:rFonts w:hint="cs"/>
          <w:rtl/>
        </w:rPr>
        <w:t xml:space="preserve"> به اقتضای نهی عمل کرده و</w:t>
      </w:r>
      <w:r w:rsidRPr="006D75B0">
        <w:rPr>
          <w:rtl/>
        </w:rPr>
        <w:t xml:space="preserve"> پدرش را آزاد کند.</w:t>
      </w:r>
    </w:p>
    <w:p w:rsidR="00DC1130" w:rsidRPr="00A06D4B" w:rsidRDefault="009E377F" w:rsidP="009E377F">
      <w:pPr>
        <w:jc w:val="both"/>
        <w:rPr>
          <w:b/>
          <w:bCs/>
        </w:rPr>
      </w:pPr>
      <w:r w:rsidRPr="00A06D4B">
        <w:rPr>
          <w:rFonts w:hint="cs"/>
          <w:b/>
          <w:bCs/>
          <w:rtl/>
        </w:rPr>
        <w:t xml:space="preserve">2. </w:t>
      </w:r>
      <w:r w:rsidR="00DC1130" w:rsidRPr="00A06D4B">
        <w:rPr>
          <w:b/>
          <w:bCs/>
          <w:rtl/>
        </w:rPr>
        <w:t xml:space="preserve">مرحوم نائینی قائل است که نهی </w:t>
      </w:r>
      <w:r w:rsidRPr="00A06D4B">
        <w:rPr>
          <w:b/>
          <w:bCs/>
          <w:rtl/>
        </w:rPr>
        <w:t>مطلقا</w:t>
      </w:r>
      <w:r w:rsidRPr="00A06D4B">
        <w:rPr>
          <w:rFonts w:hint="cs"/>
          <w:b/>
          <w:bCs/>
          <w:rtl/>
        </w:rPr>
        <w:t>ً</w:t>
      </w:r>
      <w:r w:rsidRPr="00A06D4B">
        <w:rPr>
          <w:b/>
          <w:bCs/>
          <w:rtl/>
        </w:rPr>
        <w:t xml:space="preserve"> </w:t>
      </w:r>
      <w:r w:rsidR="00DC1130" w:rsidRPr="00A06D4B">
        <w:rPr>
          <w:b/>
          <w:bCs/>
          <w:rtl/>
        </w:rPr>
        <w:t>دلالت بر فساد دارد</w:t>
      </w:r>
      <w:r w:rsidRPr="00A06D4B">
        <w:rPr>
          <w:rFonts w:hint="cs"/>
          <w:b/>
          <w:bCs/>
          <w:rtl/>
        </w:rPr>
        <w:t>.</w:t>
      </w:r>
    </w:p>
    <w:p w:rsidR="00DC1130" w:rsidRPr="006D75B0" w:rsidRDefault="00DC1130" w:rsidP="006D75B0">
      <w:pPr>
        <w:jc w:val="both"/>
      </w:pPr>
      <w:r w:rsidRPr="006D75B0">
        <w:rPr>
          <w:rtl/>
        </w:rPr>
        <w:t xml:space="preserve">این قول قائل کمتری نسبت به قول پیشین دارد (این نکته مشهور که نائینی شاگرد آخوند بوده محل مناقشه است) </w:t>
      </w:r>
    </w:p>
    <w:p w:rsidR="00DC1130" w:rsidRPr="00A06D4B" w:rsidRDefault="009E377F" w:rsidP="009E377F">
      <w:pPr>
        <w:jc w:val="both"/>
        <w:rPr>
          <w:b/>
          <w:bCs/>
        </w:rPr>
      </w:pPr>
      <w:r w:rsidRPr="00A06D4B">
        <w:rPr>
          <w:rFonts w:hint="cs"/>
          <w:b/>
          <w:bCs/>
          <w:rtl/>
        </w:rPr>
        <w:t xml:space="preserve">3. </w:t>
      </w:r>
      <w:r w:rsidR="00DC1130" w:rsidRPr="00A06D4B">
        <w:rPr>
          <w:b/>
          <w:bCs/>
          <w:rtl/>
        </w:rPr>
        <w:t>قول سوم که منتسب به شیخ است</w:t>
      </w:r>
      <w:r w:rsidRPr="00A06D4B">
        <w:rPr>
          <w:rFonts w:hint="cs"/>
          <w:b/>
          <w:bCs/>
          <w:rtl/>
        </w:rPr>
        <w:t>،</w:t>
      </w:r>
      <w:r w:rsidR="00DC1130" w:rsidRPr="00A06D4B">
        <w:rPr>
          <w:b/>
          <w:bCs/>
          <w:rtl/>
        </w:rPr>
        <w:t xml:space="preserve"> قائل به تفصیل است</w:t>
      </w:r>
      <w:r w:rsidRPr="00A06D4B">
        <w:rPr>
          <w:rFonts w:hint="cs"/>
          <w:b/>
          <w:bCs/>
          <w:rtl/>
        </w:rPr>
        <w:t>.</w:t>
      </w:r>
    </w:p>
    <w:p w:rsidR="00DC1130" w:rsidRPr="006D75B0" w:rsidRDefault="001D0EB3" w:rsidP="001D0EB3">
      <w:pPr>
        <w:jc w:val="both"/>
      </w:pPr>
      <w:r w:rsidRPr="006D75B0">
        <w:rPr>
          <w:rtl/>
        </w:rPr>
        <w:t>باید</w:t>
      </w:r>
      <w:r w:rsidRPr="006D75B0">
        <w:rPr>
          <w:rtl/>
        </w:rPr>
        <w:t xml:space="preserve"> </w:t>
      </w:r>
      <w:r w:rsidR="00DC1130" w:rsidRPr="006D75B0">
        <w:rPr>
          <w:rtl/>
        </w:rPr>
        <w:t>بین سبب عقلی یا عقل</w:t>
      </w:r>
      <w:r w:rsidR="009E377F">
        <w:rPr>
          <w:rtl/>
        </w:rPr>
        <w:t>ائی از</w:t>
      </w:r>
      <w:r w:rsidR="009E377F">
        <w:rPr>
          <w:rFonts w:hint="cs"/>
          <w:rtl/>
        </w:rPr>
        <w:t xml:space="preserve"> یک</w:t>
      </w:r>
      <w:r w:rsidR="00DC1130" w:rsidRPr="006D75B0">
        <w:rPr>
          <w:rtl/>
        </w:rPr>
        <w:t xml:space="preserve"> سوی و سبب شرعی در سوی دیگر</w:t>
      </w:r>
      <w:r>
        <w:rPr>
          <w:rFonts w:hint="cs"/>
          <w:rtl/>
        </w:rPr>
        <w:t>،</w:t>
      </w:r>
      <w:r w:rsidR="00DC1130" w:rsidRPr="006D75B0">
        <w:rPr>
          <w:rtl/>
        </w:rPr>
        <w:t xml:space="preserve"> </w:t>
      </w:r>
      <w:r w:rsidRPr="006D75B0">
        <w:rPr>
          <w:rtl/>
        </w:rPr>
        <w:t>تفصیل</w:t>
      </w:r>
      <w:r w:rsidRPr="006D75B0">
        <w:rPr>
          <w:rtl/>
        </w:rPr>
        <w:t xml:space="preserve"> </w:t>
      </w:r>
      <w:r w:rsidR="00DC1130" w:rsidRPr="006D75B0">
        <w:rPr>
          <w:rtl/>
        </w:rPr>
        <w:t>داده شود؛ اگر نهی به مسبب تعلق یابد، ولی مسببی که رابطه</w:t>
      </w:r>
      <w:r>
        <w:rPr>
          <w:rFonts w:hint="cs"/>
          <w:rtl/>
        </w:rPr>
        <w:t>‌</w:t>
      </w:r>
      <w:r w:rsidR="00DC1130" w:rsidRPr="006D75B0">
        <w:rPr>
          <w:rtl/>
        </w:rPr>
        <w:t xml:space="preserve">اش </w:t>
      </w:r>
      <w:r>
        <w:rPr>
          <w:rFonts w:hint="cs"/>
          <w:rtl/>
        </w:rPr>
        <w:t>ب</w:t>
      </w:r>
      <w:r w:rsidR="00DC1130" w:rsidRPr="006D75B0">
        <w:rPr>
          <w:rtl/>
        </w:rPr>
        <w:t xml:space="preserve">ا سبب رابطه عقلی یا عقلائی است و با قطع نظر از جعل شارع قابل قبول است، در این صورت باید به همان دلیل عقلی و یا عقلائی، </w:t>
      </w:r>
      <w:r w:rsidRPr="006D75B0">
        <w:rPr>
          <w:rtl/>
        </w:rPr>
        <w:t xml:space="preserve">مسبب را </w:t>
      </w:r>
      <w:r w:rsidR="00DC1130" w:rsidRPr="006D75B0">
        <w:rPr>
          <w:rtl/>
        </w:rPr>
        <w:t xml:space="preserve">بر این سبب، متفرع نمود </w:t>
      </w:r>
      <w:r w:rsidR="00DC1130" w:rsidRPr="006D75B0">
        <w:rPr>
          <w:rtl/>
        </w:rPr>
        <w:lastRenderedPageBreak/>
        <w:t>به خلاف قسم دوم که در آن سببیت صرفاً با جعل شارع است و نه عقل یا عقلاء؛ مانند شستن و زوال عین نجاست که مثال برای سببیت عقلیه است و این محصول و  نتیجه، متوقف بر جعل شارع نیست؛ در موارد نهی از مسببی که رابط</w:t>
      </w:r>
      <w:r>
        <w:rPr>
          <w:rtl/>
        </w:rPr>
        <w:t>ه شرعی دارد و نه عقلی یا عقلائی</w:t>
      </w:r>
      <w:r>
        <w:rPr>
          <w:rFonts w:hint="cs"/>
          <w:rtl/>
        </w:rPr>
        <w:t>، نهی از</w:t>
      </w:r>
      <w:r w:rsidR="00DC1130" w:rsidRPr="006D75B0">
        <w:rPr>
          <w:rtl/>
        </w:rPr>
        <w:t xml:space="preserve"> مسبب</w:t>
      </w:r>
      <w:r>
        <w:rPr>
          <w:rFonts w:hint="cs"/>
          <w:rtl/>
        </w:rPr>
        <w:t>،</w:t>
      </w:r>
      <w:r w:rsidR="00DC1130" w:rsidRPr="006D75B0">
        <w:rPr>
          <w:rtl/>
        </w:rPr>
        <w:t xml:space="preserve"> موجب فساد و بطلان معامله است. </w:t>
      </w:r>
    </w:p>
    <w:p w:rsidR="00DC1130" w:rsidRPr="006D75B0" w:rsidRDefault="00DC1130" w:rsidP="00CA11FE">
      <w:pPr>
        <w:jc w:val="both"/>
        <w:rPr>
          <w:rtl/>
        </w:rPr>
      </w:pPr>
      <w:r w:rsidRPr="006D75B0">
        <w:rPr>
          <w:rtl/>
        </w:rPr>
        <w:t>البته باید توجه داشت که در تقریر بیان و نظر مرحوم نائینی</w:t>
      </w:r>
      <w:r w:rsidR="001D0EB3">
        <w:rPr>
          <w:rtl/>
        </w:rPr>
        <w:t>، برای تفصیل بین این دو قسم</w:t>
      </w:r>
      <w:r w:rsidRPr="006D75B0">
        <w:rPr>
          <w:rtl/>
        </w:rPr>
        <w:t>، دو تفسیر با نظر به مصادیقش ارائه شده است، اول اینکه اغلب مصادیق مسببات، عقلائی دانسته شود و موارد خاصی از مسببات مثل طهارات و ... مسبب شرعی خاص دانسته شود؛ در طرف مقابل این تفسیر قرار دارد که اغلب مسببات شرعی دانسته شود و تنها مواردی خاص مسبب عقلانی دانسته شود.</w:t>
      </w:r>
    </w:p>
    <w:p w:rsidR="00DC1130" w:rsidRPr="006D75B0" w:rsidRDefault="00DC1130" w:rsidP="00CA11FE">
      <w:pPr>
        <w:jc w:val="both"/>
        <w:rPr>
          <w:rtl/>
        </w:rPr>
      </w:pPr>
      <w:r w:rsidRPr="006D75B0">
        <w:rPr>
          <w:rtl/>
        </w:rPr>
        <w:t>اگر نهی به مسبب تعلق یابد در جایی که سبب عقلی است، نهی شارع از مسبب، فساد را به دنبال ندارد چراکه سببیت عقلی است</w:t>
      </w:r>
      <w:r w:rsidR="00CA11FE">
        <w:rPr>
          <w:rFonts w:hint="cs"/>
          <w:rtl/>
        </w:rPr>
        <w:t>؛</w:t>
      </w:r>
      <w:r w:rsidRPr="006D75B0">
        <w:rPr>
          <w:rtl/>
        </w:rPr>
        <w:t xml:space="preserve"> ولی اگر رابطه سبب و مسبب، شرعی باشد، نهی از مسبب به معنی مبغوضیت آن مسبب است و در این فرض معنی ندارد که شارع، امری را که مبغوضش می</w:t>
      </w:r>
      <w:r w:rsidR="00CA11FE">
        <w:rPr>
          <w:rFonts w:hint="cs"/>
          <w:rtl/>
        </w:rPr>
        <w:t>‌</w:t>
      </w:r>
      <w:r w:rsidRPr="006D75B0">
        <w:rPr>
          <w:rtl/>
        </w:rPr>
        <w:t>دارد</w:t>
      </w:r>
      <w:r w:rsidR="00CA11FE">
        <w:rPr>
          <w:rFonts w:hint="cs"/>
          <w:rtl/>
        </w:rPr>
        <w:t>،</w:t>
      </w:r>
      <w:r w:rsidRPr="006D75B0">
        <w:rPr>
          <w:rtl/>
        </w:rPr>
        <w:t xml:space="preserve"> خود همان امر را تصحیح کند.</w:t>
      </w:r>
    </w:p>
    <w:p w:rsidR="00DC1130" w:rsidRPr="00A06D4B" w:rsidRDefault="00CA11FE" w:rsidP="006D75B0">
      <w:pPr>
        <w:jc w:val="both"/>
        <w:rPr>
          <w:b/>
          <w:bCs/>
          <w:rtl/>
        </w:rPr>
      </w:pPr>
      <w:r w:rsidRPr="00A06D4B">
        <w:rPr>
          <w:b/>
          <w:bCs/>
          <w:rtl/>
        </w:rPr>
        <w:t>قول دوم غیر</w:t>
      </w:r>
      <w:r w:rsidR="00DC1130" w:rsidRPr="00A06D4B">
        <w:rPr>
          <w:b/>
          <w:bCs/>
          <w:rtl/>
        </w:rPr>
        <w:t>مشهور از نائینی:</w:t>
      </w:r>
    </w:p>
    <w:p w:rsidR="00DC1130" w:rsidRPr="006D75B0" w:rsidRDefault="00DC1130" w:rsidP="006D75B0">
      <w:pPr>
        <w:jc w:val="both"/>
        <w:rPr>
          <w:rtl/>
        </w:rPr>
      </w:pPr>
      <w:r w:rsidRPr="006D75B0">
        <w:rPr>
          <w:rtl/>
        </w:rPr>
        <w:t>این نهی از مسبب یک نوع تعجیز نسبت به سبب است؛ یعنی اینکه وقتی شار</w:t>
      </w:r>
      <w:r w:rsidR="00CA11FE">
        <w:rPr>
          <w:rtl/>
        </w:rPr>
        <w:t>ع «لا تملک المصحف للکافر» را می</w:t>
      </w:r>
      <w:r w:rsidR="00CA11FE">
        <w:rPr>
          <w:rFonts w:hint="cs"/>
          <w:rtl/>
        </w:rPr>
        <w:t>‌</w:t>
      </w:r>
      <w:r w:rsidRPr="006D75B0">
        <w:rPr>
          <w:rtl/>
        </w:rPr>
        <w:t>فرماید، این معنایش نقض سببیت از این سبب توسط خود شارع است</w:t>
      </w:r>
      <w:r w:rsidR="00CA11FE">
        <w:rPr>
          <w:rFonts w:hint="cs"/>
          <w:rtl/>
        </w:rPr>
        <w:t>؛</w:t>
      </w:r>
      <w:r w:rsidRPr="006D75B0">
        <w:rPr>
          <w:rtl/>
        </w:rPr>
        <w:t xml:space="preserve"> یعنی این سبب، دیگر اثر در تولید مسبب ندارد و شارع آن را از اثر</w:t>
      </w:r>
      <w:r w:rsidR="00CA11FE">
        <w:rPr>
          <w:rFonts w:hint="cs"/>
          <w:rtl/>
        </w:rPr>
        <w:t xml:space="preserve"> </w:t>
      </w:r>
      <w:r w:rsidRPr="006D75B0">
        <w:rPr>
          <w:rtl/>
        </w:rPr>
        <w:t xml:space="preserve">دهی عاجز کرده است. </w:t>
      </w:r>
    </w:p>
    <w:p w:rsidR="00DC1130" w:rsidRPr="006D75B0" w:rsidRDefault="00DC1130" w:rsidP="00CA11FE">
      <w:pPr>
        <w:jc w:val="both"/>
      </w:pPr>
      <w:r w:rsidRPr="006D75B0">
        <w:rPr>
          <w:rtl/>
        </w:rPr>
        <w:t>صحت عقد و ترتیب اثر بر عقد معامله، یک شرایطی دارد</w:t>
      </w:r>
      <w:r w:rsidR="00CA11FE">
        <w:rPr>
          <w:rFonts w:hint="cs"/>
          <w:rtl/>
        </w:rPr>
        <w:t>؛</w:t>
      </w:r>
      <w:r w:rsidRPr="006D75B0">
        <w:rPr>
          <w:rtl/>
        </w:rPr>
        <w:t xml:space="preserve"> یکی از این شرایط همین است که شخص سلطنت بر نقل و انتقال مورد نظر از معامله داشته باشد و قادر بر آن باشد و مهجور از آن نشده باشد؛ این سلطنت هم خود بر دو نوع است سلطه عقلی یا سلطه شرعی؛ سلطه عقلی این است که چیزی که از </w:t>
      </w:r>
      <w:r w:rsidRPr="006D75B0">
        <w:rPr>
          <w:rtl/>
        </w:rPr>
        <w:lastRenderedPageBreak/>
        <w:t>دسترس او خارج است و مثلا</w:t>
      </w:r>
      <w:r w:rsidR="00CA11FE">
        <w:rPr>
          <w:rFonts w:hint="cs"/>
          <w:rtl/>
        </w:rPr>
        <w:t>ً</w:t>
      </w:r>
      <w:r w:rsidRPr="006D75B0">
        <w:rPr>
          <w:rtl/>
        </w:rPr>
        <w:t xml:space="preserve"> با ارسال آن ملک به کره ماه</w:t>
      </w:r>
      <w:r w:rsidR="00CA11FE">
        <w:rPr>
          <w:rFonts w:hint="cs"/>
          <w:rtl/>
        </w:rPr>
        <w:t>،</w:t>
      </w:r>
      <w:r w:rsidRPr="006D75B0">
        <w:rPr>
          <w:rtl/>
        </w:rPr>
        <w:t xml:space="preserve"> از دسترس و از سلطه او خارج شده است</w:t>
      </w:r>
      <w:r w:rsidR="00CA11FE">
        <w:rPr>
          <w:rFonts w:hint="cs"/>
          <w:rtl/>
        </w:rPr>
        <w:t>،</w:t>
      </w:r>
      <w:r w:rsidRPr="006D75B0">
        <w:rPr>
          <w:rtl/>
        </w:rPr>
        <w:t xml:space="preserve"> حال </w:t>
      </w:r>
      <w:r w:rsidR="00CA11FE">
        <w:rPr>
          <w:rtl/>
        </w:rPr>
        <w:t>اگر وی بخواهد آن را بفروشد، نمی</w:t>
      </w:r>
      <w:r w:rsidR="00CA11FE">
        <w:rPr>
          <w:rFonts w:hint="cs"/>
          <w:rtl/>
        </w:rPr>
        <w:t>‌</w:t>
      </w:r>
      <w:r w:rsidRPr="006D75B0">
        <w:rPr>
          <w:rtl/>
        </w:rPr>
        <w:t>تواند چراکه سلطه و دسترسی عقلی بر آن مبیع ندارد؛ سلطه شرعی هم آن سلطنتی است که با نهی شارع منتفی می</w:t>
      </w:r>
      <w:r w:rsidR="00CA11FE">
        <w:rPr>
          <w:rFonts w:hint="cs"/>
          <w:rtl/>
        </w:rPr>
        <w:t>‌</w:t>
      </w:r>
      <w:r w:rsidRPr="006D75B0">
        <w:rPr>
          <w:rtl/>
        </w:rPr>
        <w:t>شود، نظیر سلطه بر مصحف یا عبد مسلمان که ش</w:t>
      </w:r>
      <w:r w:rsidR="00CA11FE">
        <w:rPr>
          <w:rtl/>
        </w:rPr>
        <w:t>ارع می</w:t>
      </w:r>
      <w:r w:rsidR="00CA11FE">
        <w:rPr>
          <w:rFonts w:hint="cs"/>
          <w:rtl/>
        </w:rPr>
        <w:t>‌</w:t>
      </w:r>
      <w:r w:rsidRPr="006D75B0">
        <w:rPr>
          <w:rtl/>
        </w:rPr>
        <w:t>تواند از مثل بیع قرآن به کافر نهی کرده و شخص مالک قرآن را از تسلط بر مصحف خود ساقط کند و رخصت به وی برای تملیکش به کافر ندهد.</w:t>
      </w:r>
    </w:p>
    <w:p w:rsidR="00DC1130" w:rsidRPr="006D75B0" w:rsidRDefault="00DC1130" w:rsidP="006D75B0">
      <w:pPr>
        <w:jc w:val="both"/>
      </w:pPr>
      <w:r w:rsidRPr="00A06D4B">
        <w:rPr>
          <w:b/>
          <w:bCs/>
          <w:rtl/>
        </w:rPr>
        <w:t>پاسخ به قول مرحوم نائینی</w:t>
      </w:r>
      <w:r w:rsidRPr="006D75B0">
        <w:rPr>
          <w:rtl/>
        </w:rPr>
        <w:t>:</w:t>
      </w:r>
    </w:p>
    <w:p w:rsidR="00A06D4B" w:rsidRPr="00A06D4B" w:rsidRDefault="00DC1130" w:rsidP="00A06D4B">
      <w:pPr>
        <w:jc w:val="both"/>
        <w:rPr>
          <w:rFonts w:cs="Cambria"/>
          <w:rtl/>
        </w:rPr>
      </w:pPr>
      <w:r w:rsidRPr="006D75B0">
        <w:rPr>
          <w:rtl/>
        </w:rPr>
        <w:t>این بیان پاسخ داده شده است که این نهی، نه به معنی تعجیز است و نه مساوی با عدم سلطه بایع بر مال، چراکه این نهی از تملیک مصحف و یا تملک در پدر عبد، ملازمه با این ندارد که سببش اثر نکند و یا اینکه ملک منتقل نشود؛ به دو دلیل</w:t>
      </w:r>
      <w:r w:rsidR="00A06D4B">
        <w:rPr>
          <w:rFonts w:hint="cs"/>
          <w:rtl/>
        </w:rPr>
        <w:t>:</w:t>
      </w:r>
    </w:p>
    <w:p w:rsidR="00DC1130" w:rsidRPr="006D75B0" w:rsidRDefault="00DC1130" w:rsidP="00A06D4B">
      <w:pPr>
        <w:jc w:val="both"/>
        <w:rPr>
          <w:rtl/>
        </w:rPr>
      </w:pPr>
      <w:r w:rsidRPr="006D75B0">
        <w:rPr>
          <w:rtl/>
        </w:rPr>
        <w:t xml:space="preserve"> </w:t>
      </w:r>
      <w:r w:rsidRPr="00A06D4B">
        <w:rPr>
          <w:b/>
          <w:bCs/>
          <w:rtl/>
        </w:rPr>
        <w:t>اولا</w:t>
      </w:r>
      <w:r w:rsidR="00A06D4B" w:rsidRPr="00A06D4B">
        <w:rPr>
          <w:rFonts w:hint="cs"/>
          <w:b/>
          <w:bCs/>
          <w:rtl/>
        </w:rPr>
        <w:t>ً:</w:t>
      </w:r>
      <w:r w:rsidRPr="006D75B0">
        <w:rPr>
          <w:rtl/>
        </w:rPr>
        <w:t xml:space="preserve"> اجتماع این دو حکم</w:t>
      </w:r>
      <w:r w:rsidR="00A06D4B">
        <w:rPr>
          <w:rFonts w:hint="cs"/>
          <w:rtl/>
        </w:rPr>
        <w:t>،</w:t>
      </w:r>
      <w:r w:rsidRPr="006D75B0">
        <w:rPr>
          <w:rtl/>
        </w:rPr>
        <w:t xml:space="preserve"> هیچ تضادی ندارند</w:t>
      </w:r>
      <w:r w:rsidR="00A06D4B">
        <w:rPr>
          <w:rFonts w:hint="cs"/>
          <w:rtl/>
        </w:rPr>
        <w:t>؛</w:t>
      </w:r>
      <w:r w:rsidRPr="006D75B0">
        <w:rPr>
          <w:rtl/>
        </w:rPr>
        <w:t xml:space="preserve"> چراکه یکی حکم وضعی و دیگری تکلیفی است و به عبارتی عقلا</w:t>
      </w:r>
      <w:r w:rsidR="00A06D4B">
        <w:rPr>
          <w:rFonts w:hint="cs"/>
          <w:rtl/>
        </w:rPr>
        <w:t>ً</w:t>
      </w:r>
      <w:r w:rsidRPr="006D75B0">
        <w:rPr>
          <w:rtl/>
        </w:rPr>
        <w:t xml:space="preserve"> تضاد و تنافری بین این دو حکم وجود ندارد؛ این دو، دو حکم متمایز از هم‌اند و هر دو به اطلاق خود می</w:t>
      </w:r>
      <w:r w:rsidR="00A06D4B">
        <w:rPr>
          <w:rFonts w:hint="cs"/>
          <w:rtl/>
        </w:rPr>
        <w:t>‌</w:t>
      </w:r>
      <w:r w:rsidRPr="006D75B0">
        <w:rPr>
          <w:rtl/>
        </w:rPr>
        <w:t>توانند باقی باشند؛</w:t>
      </w:r>
    </w:p>
    <w:p w:rsidR="00DC1130" w:rsidRPr="006D75B0" w:rsidRDefault="00DC1130" w:rsidP="00A06D4B">
      <w:pPr>
        <w:jc w:val="both"/>
        <w:rPr>
          <w:rtl/>
        </w:rPr>
      </w:pPr>
      <w:r w:rsidRPr="00A06D4B">
        <w:rPr>
          <w:b/>
          <w:bCs/>
          <w:rtl/>
        </w:rPr>
        <w:t>ثانیا</w:t>
      </w:r>
      <w:r w:rsidR="00A06D4B" w:rsidRPr="00A06D4B">
        <w:rPr>
          <w:rFonts w:hint="cs"/>
          <w:b/>
          <w:bCs/>
          <w:rtl/>
        </w:rPr>
        <w:t>ً:</w:t>
      </w:r>
      <w:r w:rsidRPr="006D75B0">
        <w:rPr>
          <w:rtl/>
        </w:rPr>
        <w:t xml:space="preserve"> به فرض هم اگر تضاد بین این دو حکم، پذیرفته شود، باید توجه شود که احکام خمسه</w:t>
      </w:r>
      <w:r w:rsidR="00A06D4B">
        <w:rPr>
          <w:rFonts w:hint="cs"/>
          <w:rtl/>
        </w:rPr>
        <w:t>،</w:t>
      </w:r>
      <w:r w:rsidRPr="006D75B0">
        <w:rPr>
          <w:rtl/>
        </w:rPr>
        <w:t xml:space="preserve"> طبق مبنای مختار در یک موضوع قابل اجتماع بودند که در مسأله پیشین از این مبنا دفاع شد</w:t>
      </w:r>
      <w:r w:rsidR="00A06D4B">
        <w:rPr>
          <w:rFonts w:hint="cs"/>
          <w:rtl/>
        </w:rPr>
        <w:t>.</w:t>
      </w:r>
      <w:r w:rsidRPr="006D75B0">
        <w:rPr>
          <w:rtl/>
        </w:rPr>
        <w:t xml:space="preserve"> </w:t>
      </w:r>
    </w:p>
    <w:p w:rsidR="00DC1130" w:rsidRPr="006D75B0" w:rsidRDefault="00DC1130" w:rsidP="00A06D4B">
      <w:pPr>
        <w:jc w:val="both"/>
        <w:rPr>
          <w:rtl/>
        </w:rPr>
      </w:pPr>
      <w:r w:rsidRPr="006D75B0">
        <w:rPr>
          <w:rtl/>
        </w:rPr>
        <w:t>بدین ترتیب این قول، هم بنا بر مبنای امتناعیون در اجتماع پاسخ داده شد و</w:t>
      </w:r>
      <w:r w:rsidR="00A06D4B">
        <w:rPr>
          <w:rFonts w:hint="cs"/>
          <w:rtl/>
        </w:rPr>
        <w:t xml:space="preserve"> </w:t>
      </w:r>
      <w:r w:rsidRPr="006D75B0">
        <w:rPr>
          <w:rtl/>
        </w:rPr>
        <w:t>هم بر مبنای اجتماعیون، البته اگر قائل به این قول، در مستوای دلالت لفظ</w:t>
      </w:r>
      <w:r w:rsidR="00A06D4B">
        <w:rPr>
          <w:rFonts w:hint="cs"/>
          <w:rtl/>
        </w:rPr>
        <w:t>ی</w:t>
      </w:r>
      <w:r w:rsidRPr="006D75B0">
        <w:rPr>
          <w:rtl/>
        </w:rPr>
        <w:t xml:space="preserve"> ادعا کنند که مدلول التزامی لفظی وجود دارد که این کلام دالّ بر نهی، مقتضی بطلان و فساد معامه است</w:t>
      </w:r>
      <w:r w:rsidR="00A06D4B">
        <w:rPr>
          <w:rFonts w:hint="cs"/>
          <w:rtl/>
        </w:rPr>
        <w:t>،</w:t>
      </w:r>
      <w:r w:rsidRPr="006D75B0">
        <w:rPr>
          <w:rtl/>
        </w:rPr>
        <w:t xml:space="preserve"> این بحث دیگری </w:t>
      </w:r>
      <w:r w:rsidR="00A06D4B">
        <w:rPr>
          <w:rFonts w:hint="cs"/>
          <w:rtl/>
        </w:rPr>
        <w:t xml:space="preserve">بوده </w:t>
      </w:r>
      <w:r w:rsidRPr="006D75B0">
        <w:rPr>
          <w:rtl/>
        </w:rPr>
        <w:t>و قابل بررسی است</w:t>
      </w:r>
      <w:r w:rsidR="00A06D4B">
        <w:rPr>
          <w:rFonts w:hint="cs"/>
          <w:rtl/>
        </w:rPr>
        <w:t>؛</w:t>
      </w:r>
      <w:bookmarkStart w:id="0" w:name="_GoBack"/>
      <w:bookmarkEnd w:id="0"/>
      <w:r w:rsidRPr="006D75B0">
        <w:rPr>
          <w:rtl/>
        </w:rPr>
        <w:t xml:space="preserve"> ولی بنا بر تقریر پیشین این قول مقبول نیست.</w:t>
      </w:r>
    </w:p>
    <w:p w:rsidR="00152670" w:rsidRPr="006D75B0" w:rsidRDefault="00152670" w:rsidP="006D75B0">
      <w:pPr>
        <w:jc w:val="both"/>
      </w:pPr>
    </w:p>
    <w:sectPr w:rsidR="00152670" w:rsidRPr="006D75B0"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6A7" w:rsidRDefault="005166A7" w:rsidP="00E83C2C">
      <w:pPr>
        <w:spacing w:after="0"/>
      </w:pPr>
      <w:r>
        <w:separator/>
      </w:r>
    </w:p>
  </w:endnote>
  <w:endnote w:type="continuationSeparator" w:id="0">
    <w:p w:rsidR="005166A7" w:rsidRDefault="005166A7"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A06D4B">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6A7" w:rsidRDefault="005166A7" w:rsidP="00E83C2C">
      <w:pPr>
        <w:spacing w:after="0"/>
      </w:pPr>
      <w:r>
        <w:separator/>
      </w:r>
    </w:p>
  </w:footnote>
  <w:footnote w:type="continuationSeparator" w:id="0">
    <w:p w:rsidR="005166A7" w:rsidRDefault="005166A7"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6D75B0">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FC2B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6D75B0">
      <w:rPr>
        <w:rFonts w:ascii="Adobe Arabic" w:hAnsi="Adobe Arabic" w:cs="Adobe Arabic" w:hint="cs"/>
        <w:sz w:val="28"/>
        <w:szCs w:val="28"/>
        <w:rtl/>
      </w:rPr>
      <w:t xml:space="preserve">اقتضاء النهی </w:t>
    </w:r>
    <w:r w:rsidR="006D75B0">
      <w:rPr>
        <w:rFonts w:ascii="Adobe Arabic" w:hAnsi="Adobe Arabic" w:cs="Adobe Arabic" w:hint="cs"/>
        <w:sz w:val="28"/>
        <w:szCs w:val="28"/>
        <w:rtl/>
      </w:rPr>
      <w:t>ل</w:t>
    </w:r>
    <w:r w:rsidR="006D75B0">
      <w:rPr>
        <w:rFonts w:ascii="Adobe Arabic" w:hAnsi="Adobe Arabic" w:cs="Adobe Arabic" w:hint="cs"/>
        <w:sz w:val="28"/>
        <w:szCs w:val="28"/>
        <w:rtl/>
      </w:rPr>
      <w:t>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6D75B0">
      <w:rPr>
        <w:rFonts w:ascii="Adobe Arabic" w:hAnsi="Adobe Arabic" w:cs="Adobe Arabic" w:hint="cs"/>
        <w:sz w:val="28"/>
        <w:szCs w:val="28"/>
        <w:rtl/>
      </w:rPr>
      <w:t>12/12/1393</w:t>
    </w:r>
  </w:p>
  <w:p w:rsidR="0043035D" w:rsidRPr="00B46EB8" w:rsidRDefault="00B46EB8" w:rsidP="00DC1130">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74232A" w:rsidRPr="00C277D3">
      <w:rPr>
        <w:rFonts w:ascii="Adobe Arabic" w:hAnsi="Adobe Arabic" w:cs="Adobe Arabic"/>
        <w:sz w:val="28"/>
        <w:szCs w:val="28"/>
        <w:rtl/>
      </w:rPr>
      <w:t xml:space="preserve"> </w:t>
    </w:r>
    <w:r w:rsidR="00DC1130">
      <w:rPr>
        <w:rFonts w:ascii="Adobe Arabic" w:hAnsi="Adobe Arabic" w:cs="Adobe Arabic" w:hint="cs"/>
        <w:sz w:val="28"/>
        <w:szCs w:val="28"/>
        <w:rtl/>
      </w:rPr>
      <w:t xml:space="preserve">اقتضاء النهی لفساد المعامله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شماره جلسه:</w:t>
    </w:r>
    <w:r w:rsidR="006D75B0">
      <w:rPr>
        <w:rFonts w:ascii="Adobe Arabic" w:hAnsi="Adobe Arabic" w:cs="Adobe Arabic" w:hint="cs"/>
        <w:sz w:val="28"/>
        <w:szCs w:val="28"/>
        <w:rtl/>
      </w:rPr>
      <w:t xml:space="preserve"> 68</w:t>
    </w:r>
  </w:p>
  <w:p w:rsidR="000D5800" w:rsidRPr="00F52F75" w:rsidRDefault="005166A7"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3B3BEC"/>
    <w:multiLevelType w:val="hybridMultilevel"/>
    <w:tmpl w:val="9A5A0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4326C6"/>
    <w:multiLevelType w:val="hybridMultilevel"/>
    <w:tmpl w:val="5D786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130"/>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0EB3"/>
    <w:rsid w:val="001D24F8"/>
    <w:rsid w:val="001E306E"/>
    <w:rsid w:val="001E3FB0"/>
    <w:rsid w:val="001E4FFF"/>
    <w:rsid w:val="001F2E3E"/>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166A7"/>
    <w:rsid w:val="00522BCE"/>
    <w:rsid w:val="00533B0E"/>
    <w:rsid w:val="00572E2D"/>
    <w:rsid w:val="00592103"/>
    <w:rsid w:val="005A545E"/>
    <w:rsid w:val="005A5862"/>
    <w:rsid w:val="005B0852"/>
    <w:rsid w:val="005C06AE"/>
    <w:rsid w:val="005F2487"/>
    <w:rsid w:val="005F70B7"/>
    <w:rsid w:val="00610C18"/>
    <w:rsid w:val="0061376C"/>
    <w:rsid w:val="00636EFA"/>
    <w:rsid w:val="0069696C"/>
    <w:rsid w:val="006A085A"/>
    <w:rsid w:val="006D3A87"/>
    <w:rsid w:val="006D75B0"/>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4C85"/>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E377F"/>
    <w:rsid w:val="009F4EB3"/>
    <w:rsid w:val="00A06D48"/>
    <w:rsid w:val="00A06D4B"/>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A11FE"/>
    <w:rsid w:val="00CB5DA3"/>
    <w:rsid w:val="00CE31E6"/>
    <w:rsid w:val="00CE3B74"/>
    <w:rsid w:val="00CF42E2"/>
    <w:rsid w:val="00CF7916"/>
    <w:rsid w:val="00D158F3"/>
    <w:rsid w:val="00D3665C"/>
    <w:rsid w:val="00D508CC"/>
    <w:rsid w:val="00D50F4B"/>
    <w:rsid w:val="00D60547"/>
    <w:rsid w:val="00D66444"/>
    <w:rsid w:val="00DB28BB"/>
    <w:rsid w:val="00DC1130"/>
    <w:rsid w:val="00DC603F"/>
    <w:rsid w:val="00DD3C0D"/>
    <w:rsid w:val="00DD4864"/>
    <w:rsid w:val="00DD71A2"/>
    <w:rsid w:val="00E0639C"/>
    <w:rsid w:val="00E067E6"/>
    <w:rsid w:val="00E12531"/>
    <w:rsid w:val="00E143B0"/>
    <w:rsid w:val="00E55891"/>
    <w:rsid w:val="00E6283A"/>
    <w:rsid w:val="00E732A3"/>
    <w:rsid w:val="00E83A85"/>
    <w:rsid w:val="00E83C2C"/>
    <w:rsid w:val="00E90FC4"/>
    <w:rsid w:val="00EA01EC"/>
    <w:rsid w:val="00EA15B0"/>
    <w:rsid w:val="00EA5D97"/>
    <w:rsid w:val="00EC4393"/>
    <w:rsid w:val="00ED77A0"/>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DE01C7-1ABF-4202-B7D1-FD52A1FD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6D75B0"/>
    <w:pPr>
      <w:bidi/>
    </w:pPr>
    <w:rPr>
      <w:rFonts w:cs="2  Badr"/>
      <w:szCs w:val="32"/>
    </w:rPr>
  </w:style>
  <w:style w:type="paragraph" w:styleId="1">
    <w:name w:val="heading 1"/>
    <w:aliases w:val="سرفصل1,سرفصل 1"/>
    <w:basedOn w:val="a"/>
    <w:next w:val="a"/>
    <w:link w:val="10"/>
    <w:uiPriority w:val="9"/>
    <w:qFormat/>
    <w:rsid w:val="006D75B0"/>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6D75B0"/>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6D75B0"/>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6D75B0"/>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6D75B0"/>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6D75B0"/>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6D75B0"/>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6D75B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6D75B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6D75B0"/>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6D75B0"/>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6D75B0"/>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6D75B0"/>
    <w:rPr>
      <w:rFonts w:asciiTheme="majorHAnsi" w:eastAsiaTheme="majorEastAsia" w:hAnsiTheme="majorHAnsi" w:cs="2  Badr"/>
      <w:b/>
      <w:bCs/>
      <w:i/>
      <w:szCs w:val="36"/>
    </w:rPr>
  </w:style>
  <w:style w:type="character" w:customStyle="1" w:styleId="50">
    <w:name w:val="سرصفحه 5 نویسه"/>
    <w:link w:val="5"/>
    <w:uiPriority w:val="9"/>
    <w:rsid w:val="006D75B0"/>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6D75B0"/>
    <w:rPr>
      <w:smallCaps/>
      <w:color w:val="C0504D" w:themeColor="accent2"/>
      <w:u w:val="single"/>
    </w:rPr>
  </w:style>
  <w:style w:type="character" w:styleId="a6">
    <w:name w:val="Intense Reference"/>
    <w:uiPriority w:val="32"/>
    <w:qFormat/>
    <w:rsid w:val="006D75B0"/>
    <w:rPr>
      <w:b/>
      <w:bCs/>
      <w:smallCaps/>
      <w:color w:val="C0504D" w:themeColor="accent2"/>
      <w:spacing w:val="5"/>
      <w:u w:val="single"/>
    </w:rPr>
  </w:style>
  <w:style w:type="character" w:styleId="a7">
    <w:name w:val="Book Title"/>
    <w:uiPriority w:val="33"/>
    <w:qFormat/>
    <w:rsid w:val="006D75B0"/>
    <w:rPr>
      <w:b/>
      <w:bCs/>
      <w:smallCaps/>
      <w:spacing w:val="5"/>
    </w:rPr>
  </w:style>
  <w:style w:type="paragraph" w:styleId="a8">
    <w:name w:val="TOC Heading"/>
    <w:basedOn w:val="1"/>
    <w:next w:val="a"/>
    <w:uiPriority w:val="39"/>
    <w:semiHidden/>
    <w:unhideWhenUsed/>
    <w:qFormat/>
    <w:rsid w:val="006D75B0"/>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6D75B0"/>
    <w:pPr>
      <w:bidi/>
      <w:spacing w:after="0" w:line="240" w:lineRule="auto"/>
    </w:pPr>
    <w:rPr>
      <w:rFonts w:cs="2  Badr"/>
      <w:bCs/>
      <w:szCs w:val="32"/>
    </w:rPr>
  </w:style>
  <w:style w:type="character" w:customStyle="1" w:styleId="60">
    <w:name w:val="سرصفحه 6 نویسه"/>
    <w:link w:val="6"/>
    <w:uiPriority w:val="9"/>
    <w:semiHidden/>
    <w:rsid w:val="006D75B0"/>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6D75B0"/>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6D75B0"/>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6D75B0"/>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6D75B0"/>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6D75B0"/>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6D75B0"/>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6D75B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6D75B0"/>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6D75B0"/>
    <w:rPr>
      <w:i/>
      <w:iCs/>
    </w:rPr>
  </w:style>
  <w:style w:type="character" w:customStyle="1" w:styleId="a9">
    <w:name w:val="بی فاصله نویسه"/>
    <w:aliases w:val="متن عربي نویسه,عربی نویسه"/>
    <w:link w:val="a0"/>
    <w:uiPriority w:val="1"/>
    <w:rsid w:val="006D75B0"/>
    <w:rPr>
      <w:rFonts w:cs="2  Badr"/>
      <w:bCs/>
      <w:szCs w:val="32"/>
    </w:rPr>
  </w:style>
  <w:style w:type="paragraph" w:styleId="af1">
    <w:name w:val="List Paragraph"/>
    <w:basedOn w:val="a"/>
    <w:link w:val="af2"/>
    <w:uiPriority w:val="34"/>
    <w:qFormat/>
    <w:rsid w:val="006D75B0"/>
    <w:pPr>
      <w:ind w:left="720"/>
      <w:contextualSpacing/>
    </w:pPr>
    <w:rPr>
      <w:szCs w:val="22"/>
    </w:rPr>
  </w:style>
  <w:style w:type="character" w:customStyle="1" w:styleId="af2">
    <w:name w:val="لیست پاراگراف نویسه"/>
    <w:link w:val="af1"/>
    <w:uiPriority w:val="34"/>
    <w:rsid w:val="006D75B0"/>
    <w:rPr>
      <w:rFonts w:cs="2  Badr"/>
    </w:rPr>
  </w:style>
  <w:style w:type="paragraph" w:styleId="af3">
    <w:name w:val="Quote"/>
    <w:basedOn w:val="a"/>
    <w:next w:val="a"/>
    <w:link w:val="af4"/>
    <w:uiPriority w:val="29"/>
    <w:qFormat/>
    <w:rsid w:val="006D75B0"/>
    <w:rPr>
      <w:i/>
      <w:iCs/>
      <w:color w:val="000000" w:themeColor="text1"/>
      <w:szCs w:val="22"/>
    </w:rPr>
  </w:style>
  <w:style w:type="character" w:customStyle="1" w:styleId="af4">
    <w:name w:val="نقل قول نویسه"/>
    <w:link w:val="af3"/>
    <w:uiPriority w:val="29"/>
    <w:rsid w:val="006D75B0"/>
    <w:rPr>
      <w:rFonts w:cs="2  Badr"/>
      <w:i/>
      <w:iCs/>
      <w:color w:val="000000" w:themeColor="text1"/>
    </w:rPr>
  </w:style>
  <w:style w:type="paragraph" w:styleId="af5">
    <w:name w:val="Intense Quote"/>
    <w:basedOn w:val="a"/>
    <w:next w:val="a"/>
    <w:link w:val="af6"/>
    <w:uiPriority w:val="30"/>
    <w:qFormat/>
    <w:rsid w:val="006D75B0"/>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6D75B0"/>
    <w:rPr>
      <w:rFonts w:cs="2  Badr"/>
      <w:b/>
      <w:bCs/>
      <w:i/>
      <w:iCs/>
      <w:color w:val="4F81BD" w:themeColor="accent1"/>
    </w:rPr>
  </w:style>
  <w:style w:type="character" w:styleId="af7">
    <w:name w:val="Subtle Emphasis"/>
    <w:uiPriority w:val="19"/>
    <w:qFormat/>
    <w:rsid w:val="006D75B0"/>
    <w:rPr>
      <w:i/>
      <w:iCs/>
      <w:color w:val="808080" w:themeColor="text1" w:themeTint="7F"/>
    </w:rPr>
  </w:style>
  <w:style w:type="character" w:styleId="af8">
    <w:name w:val="Intense Emphasis"/>
    <w:uiPriority w:val="21"/>
    <w:qFormat/>
    <w:rsid w:val="006D75B0"/>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4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108</TotalTime>
  <Pages>1</Pages>
  <Words>601</Words>
  <Characters>3429</Characters>
  <Application>Microsoft Office Word</Application>
  <DocSecurity>0</DocSecurity>
  <Lines>28</Lines>
  <Paragraphs>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3</cp:revision>
  <dcterms:created xsi:type="dcterms:W3CDTF">2015-03-03T06:47:00Z</dcterms:created>
  <dcterms:modified xsi:type="dcterms:W3CDTF">2015-03-04T09:41:00Z</dcterms:modified>
</cp:coreProperties>
</file>