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B" w:rsidRDefault="0082238F" w:rsidP="00B0560B">
      <w:pPr>
        <w:bidi/>
        <w:spacing w:line="360" w:lineRule="auto"/>
        <w:jc w:val="both"/>
        <w:rPr>
          <w:noProof/>
        </w:rPr>
      </w:pPr>
      <w:r w:rsidRPr="00CE7A08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 w:rsidRPr="00CE7A08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CE7A08" w:rsidRPr="00CE7A0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E7A08" w:rsidRPr="00CE7A0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E7A08" w:rsidRPr="00CE7A08">
        <w:rPr>
          <w:rFonts w:ascii="IRBadr" w:hAnsi="IRBadr" w:cs="IRBadr"/>
          <w:sz w:val="28"/>
          <w:szCs w:val="28"/>
          <w:lang w:bidi="fa-IR"/>
        </w:rPr>
        <w:instrText>TOC</w:instrText>
      </w:r>
      <w:r w:rsidR="00CE7A08" w:rsidRPr="00CE7A08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CE7A08" w:rsidRPr="00CE7A08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CE7A08" w:rsidRPr="00CE7A0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E7A08" w:rsidRPr="00CE7A0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B0560B" w:rsidRDefault="00B0560B" w:rsidP="00B0560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287874" w:history="1">
        <w:r w:rsidRPr="007128FA">
          <w:rPr>
            <w:rStyle w:val="aff1"/>
            <w:rFonts w:hint="eastAsia"/>
            <w:noProof/>
            <w:rtl/>
          </w:rPr>
          <w:t>مفهوم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وصف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287875" w:history="1">
        <w:r w:rsidRPr="007128FA">
          <w:rPr>
            <w:rStyle w:val="aff1"/>
            <w:rFonts w:hint="eastAsia"/>
            <w:noProof/>
            <w:rtl/>
          </w:rPr>
          <w:t>ادله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بحث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287876" w:history="1">
        <w:r w:rsidRPr="007128FA">
          <w:rPr>
            <w:rStyle w:val="aff1"/>
            <w:rFonts w:hint="eastAsia"/>
            <w:noProof/>
            <w:rtl/>
          </w:rPr>
          <w:t>مرور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بحث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77" w:history="1">
        <w:r w:rsidRPr="007128FA">
          <w:rPr>
            <w:rStyle w:val="aff1"/>
            <w:rFonts w:hint="eastAsia"/>
            <w:noProof/>
            <w:rtl/>
          </w:rPr>
          <w:t>تشر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ح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مسأله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78" w:history="1">
        <w:r w:rsidRPr="007128FA">
          <w:rPr>
            <w:rStyle w:val="aff1"/>
            <w:rFonts w:hint="eastAsia"/>
            <w:noProof/>
            <w:rtl/>
          </w:rPr>
          <w:t>اجوبه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79" w:history="1">
        <w:r w:rsidRPr="007128FA">
          <w:rPr>
            <w:rStyle w:val="aff1"/>
            <w:rFonts w:hint="eastAsia"/>
            <w:noProof/>
            <w:rtl/>
          </w:rPr>
          <w:t>پاسخ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0" w:history="1">
        <w:r w:rsidRPr="007128FA">
          <w:rPr>
            <w:rStyle w:val="aff1"/>
            <w:rFonts w:hint="eastAsia"/>
            <w:noProof/>
            <w:rtl/>
          </w:rPr>
          <w:t>ارز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اب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پاسخ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1" w:history="1">
        <w:r w:rsidRPr="007128FA">
          <w:rPr>
            <w:rStyle w:val="aff1"/>
            <w:rFonts w:hint="eastAsia"/>
            <w:noProof/>
            <w:rtl/>
          </w:rPr>
          <w:t>پاسخ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2" w:history="1">
        <w:r w:rsidRPr="007128FA">
          <w:rPr>
            <w:rStyle w:val="aff1"/>
            <w:rFonts w:hint="eastAsia"/>
            <w:noProof/>
            <w:rtl/>
          </w:rPr>
          <w:t>ارز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اب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پاسخ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3" w:history="1">
        <w:r w:rsidRPr="007128FA">
          <w:rPr>
            <w:rStyle w:val="aff1"/>
            <w:rFonts w:hint="eastAsia"/>
            <w:noProof/>
            <w:rtl/>
          </w:rPr>
          <w:t>پاسخ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4" w:history="1">
        <w:r w:rsidRPr="007128FA">
          <w:rPr>
            <w:rStyle w:val="aff1"/>
            <w:rFonts w:hint="eastAsia"/>
            <w:noProof/>
            <w:rtl/>
          </w:rPr>
          <w:t>استدراک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از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5" w:history="1">
        <w:r w:rsidRPr="007128FA">
          <w:rPr>
            <w:rStyle w:val="aff1"/>
            <w:rFonts w:hint="eastAsia"/>
            <w:noProof/>
            <w:rtl/>
          </w:rPr>
          <w:t>تمث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ل</w:t>
        </w:r>
        <w:r w:rsidRPr="007128FA">
          <w:rPr>
            <w:rStyle w:val="aff1"/>
            <w:noProof/>
            <w:rtl/>
          </w:rPr>
          <w:t xml:space="preserve"> </w:t>
        </w:r>
        <w:r w:rsidRPr="007128FA">
          <w:rPr>
            <w:rStyle w:val="aff1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560B" w:rsidRDefault="00B0560B" w:rsidP="00B0560B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287886" w:history="1">
        <w:r w:rsidRPr="007128FA">
          <w:rPr>
            <w:rStyle w:val="aff1"/>
            <w:rFonts w:hint="eastAsia"/>
            <w:noProof/>
            <w:rtl/>
          </w:rPr>
          <w:t>نت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جه‌گ</w:t>
        </w:r>
        <w:r w:rsidRPr="007128FA">
          <w:rPr>
            <w:rStyle w:val="aff1"/>
            <w:rFonts w:hint="cs"/>
            <w:noProof/>
            <w:rtl/>
          </w:rPr>
          <w:t>ی</w:t>
        </w:r>
        <w:r w:rsidRPr="007128FA">
          <w:rPr>
            <w:rStyle w:val="aff1"/>
            <w:rFonts w:hint="eastAsia"/>
            <w:noProof/>
            <w:rtl/>
          </w:rPr>
          <w:t>ر</w:t>
        </w:r>
        <w:r w:rsidRPr="007128FA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_Toc431287886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7A08" w:rsidRDefault="00CE7A08" w:rsidP="00B0560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E7A0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E7A08" w:rsidRDefault="00CE7A08" w:rsidP="00B0560B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E7A08" w:rsidRDefault="00CE7A08" w:rsidP="00CE7A08">
      <w:pPr>
        <w:pStyle w:val="1"/>
        <w:rPr>
          <w:rtl/>
        </w:rPr>
      </w:pPr>
      <w:bookmarkStart w:id="1" w:name="_Toc431287874"/>
      <w:r>
        <w:rPr>
          <w:rFonts w:hint="cs"/>
          <w:rtl/>
        </w:rPr>
        <w:lastRenderedPageBreak/>
        <w:t>مفهوم وصف</w:t>
      </w:r>
      <w:bookmarkEnd w:id="1"/>
    </w:p>
    <w:p w:rsidR="00CE7A08" w:rsidRDefault="00CE7A08" w:rsidP="00CE7A08">
      <w:pPr>
        <w:pStyle w:val="1"/>
        <w:rPr>
          <w:rtl/>
        </w:rPr>
      </w:pPr>
      <w:bookmarkStart w:id="2" w:name="_Toc431287875"/>
      <w:r>
        <w:rPr>
          <w:rFonts w:hint="cs"/>
          <w:rtl/>
        </w:rPr>
        <w:t>ادله بحث</w:t>
      </w:r>
      <w:bookmarkEnd w:id="2"/>
    </w:p>
    <w:p w:rsidR="00CE7A08" w:rsidRDefault="00CE7A08" w:rsidP="00CE7A08">
      <w:pPr>
        <w:pStyle w:val="1"/>
        <w:rPr>
          <w:rtl/>
        </w:rPr>
      </w:pPr>
      <w:bookmarkStart w:id="3" w:name="_Toc431287876"/>
      <w:r>
        <w:rPr>
          <w:rFonts w:hint="cs"/>
          <w:rtl/>
        </w:rPr>
        <w:t>مرور بحث گذشته</w:t>
      </w:r>
      <w:bookmarkEnd w:id="3"/>
    </w:p>
    <w:p w:rsidR="00AA5D49" w:rsidRDefault="00BB3BE8" w:rsidP="00F01E3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پیرامون مفهوم وصف بود و اولین دلیل که برای قول به مفهوم وصف تمسک شده است،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اصالت الاحترازیه در قیود و اوصاف بود که مبنای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 دلالت زیادت مبانی بر زیادت معانی است</w:t>
      </w:r>
      <w:r w:rsidR="00095CC7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1E32">
        <w:rPr>
          <w:rFonts w:ascii="IRBadr" w:hAnsi="IRBadr" w:cs="IRBadr" w:hint="cs"/>
          <w:sz w:val="28"/>
          <w:szCs w:val="28"/>
          <w:rtl/>
          <w:lang w:bidi="fa-IR"/>
        </w:rPr>
        <w:t xml:space="preserve">چرا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 لفظ جدیدی که وارد کلام متکلم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بار معنایی جدیدی را دارد.</w:t>
      </w:r>
    </w:p>
    <w:p w:rsidR="00CE7A08" w:rsidRDefault="00CE7A08" w:rsidP="00CE7A08">
      <w:pPr>
        <w:pStyle w:val="2"/>
        <w:rPr>
          <w:rtl/>
        </w:rPr>
      </w:pPr>
      <w:bookmarkStart w:id="4" w:name="_Toc431287877"/>
      <w:r>
        <w:rPr>
          <w:rFonts w:hint="cs"/>
          <w:rtl/>
        </w:rPr>
        <w:t>تشریح مسأله</w:t>
      </w:r>
      <w:bookmarkEnd w:id="4"/>
    </w:p>
    <w:p w:rsidR="00BB3BE8" w:rsidRDefault="00BB3BE8" w:rsidP="00095CC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اصالت احترازیه در مقابل زائد بودن کلمه است.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اولاً زائد بودن و نداشتن بار معنایی جدید را نفی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ثان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توضیح بودن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نفی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ثالثاً تأکید بودن را نفی خواهد کرد.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اصل که تعابیر مختلفی از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هم‌زمان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افادات را ارائه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095CC7">
        <w:rPr>
          <w:rFonts w:ascii="IRBadr" w:hAnsi="IRBadr" w:cs="IRBadr" w:hint="cs"/>
          <w:sz w:val="28"/>
          <w:szCs w:val="28"/>
          <w:rtl/>
          <w:lang w:bidi="fa-IR"/>
        </w:rPr>
        <w:t xml:space="preserve"> و این سه هدف زائد بودن، توضیح بودن و تأکید بودن را دفع می‌کند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B3BE8" w:rsidRDefault="00BB3BE8" w:rsidP="00095CC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 توجه به این توضیح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اصالت احترازیه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استخراج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برای مثال حکم 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را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اکرم العالم العادل از غیر عالم عادل نفی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استدلالی است که از گذشته در این باب بوده است.</w:t>
      </w:r>
    </w:p>
    <w:p w:rsidR="00CE7A08" w:rsidRDefault="00CE7A08" w:rsidP="00CE7A08">
      <w:pPr>
        <w:pStyle w:val="2"/>
        <w:rPr>
          <w:rtl/>
        </w:rPr>
      </w:pPr>
      <w:bookmarkStart w:id="5" w:name="_Toc431287878"/>
      <w:r>
        <w:rPr>
          <w:rFonts w:hint="cs"/>
          <w:rtl/>
        </w:rPr>
        <w:t>اجوبه بحث</w:t>
      </w:r>
      <w:bookmarkEnd w:id="5"/>
    </w:p>
    <w:p w:rsidR="00BB3BE8" w:rsidRDefault="00BB3BE8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این امر به چند صورت جواب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BB3BE8" w:rsidRDefault="00BB3BE8" w:rsidP="00F01E32">
      <w:pPr>
        <w:pStyle w:val="2"/>
        <w:rPr>
          <w:rtl/>
        </w:rPr>
      </w:pPr>
      <w:bookmarkStart w:id="6" w:name="_Toc431287879"/>
      <w:r>
        <w:rPr>
          <w:rFonts w:hint="cs"/>
          <w:rtl/>
        </w:rPr>
        <w:lastRenderedPageBreak/>
        <w:t xml:space="preserve">پاسخ </w:t>
      </w:r>
      <w:r w:rsidR="00F01E32">
        <w:rPr>
          <w:rFonts w:hint="cs"/>
          <w:rtl/>
        </w:rPr>
        <w:t>اول</w:t>
      </w:r>
      <w:bookmarkEnd w:id="6"/>
    </w:p>
    <w:p w:rsidR="00BB3BE8" w:rsidRDefault="00BB3BE8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آقای خویی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اصالت احترازیه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از مقوله حدود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(حد تام و ناقص) و تعریفات باشد، اما در غیر تعریفات اصالت احترازیه نیست. </w:t>
      </w:r>
    </w:p>
    <w:p w:rsidR="00BB3BE8" w:rsidRDefault="00F01E32" w:rsidP="00CE7A08">
      <w:pPr>
        <w:pStyle w:val="2"/>
        <w:rPr>
          <w:rtl/>
        </w:rPr>
      </w:pPr>
      <w:bookmarkStart w:id="7" w:name="_Toc431287880"/>
      <w:r>
        <w:rPr>
          <w:rFonts w:hint="cs"/>
          <w:rtl/>
        </w:rPr>
        <w:t>ارزیابی پاسخ</w:t>
      </w:r>
      <w:bookmarkEnd w:id="7"/>
    </w:p>
    <w:p w:rsidR="00BB3BE8" w:rsidRDefault="00BB3BE8" w:rsidP="00F01E3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کلام دارای ضعف بی</w:t>
      </w:r>
      <w:r w:rsidR="00F01E32">
        <w:rPr>
          <w:rFonts w:ascii="IRBadr" w:hAnsi="IRBadr" w:cs="IRBadr" w:hint="cs"/>
          <w:sz w:val="28"/>
          <w:szCs w:val="28"/>
          <w:rtl/>
          <w:lang w:bidi="fa-IR"/>
        </w:rPr>
        <w:t>ّ</w:t>
      </w:r>
      <w:r>
        <w:rPr>
          <w:rFonts w:ascii="IRBadr" w:hAnsi="IRBadr" w:cs="IRBadr" w:hint="cs"/>
          <w:sz w:val="28"/>
          <w:szCs w:val="28"/>
          <w:rtl/>
          <w:lang w:bidi="fa-IR"/>
        </w:rPr>
        <w:t>نی است</w:t>
      </w:r>
      <w:r w:rsidR="00F01E32">
        <w:rPr>
          <w:rFonts w:ascii="IRBadr" w:hAnsi="IRBadr" w:cs="IRBadr" w:hint="cs"/>
          <w:sz w:val="28"/>
          <w:szCs w:val="28"/>
          <w:rtl/>
          <w:lang w:bidi="fa-IR"/>
        </w:rPr>
        <w:t>؛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اصالت احترازیه معنا شده</w:t>
      </w:r>
      <w:r w:rsidR="00F01E32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تعریفات اختصاص نداشته و اصل بر این است که 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هر متکلمی هر سخنی که می‌گوید، </w:t>
      </w:r>
      <w:r>
        <w:rPr>
          <w:rFonts w:ascii="IRBadr" w:hAnsi="IRBadr" w:cs="IRBadr" w:hint="cs"/>
          <w:sz w:val="28"/>
          <w:szCs w:val="28"/>
          <w:rtl/>
          <w:lang w:bidi="fa-IR"/>
        </w:rPr>
        <w:t>حتی در مکالمات عرفی،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کلمه و کلامی فراتر از زیادت،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توض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تأکید</w:t>
      </w:r>
      <w:r w:rsidR="00F01E3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بار جدیدی را به دنبال دارد.</w:t>
      </w:r>
    </w:p>
    <w:p w:rsidR="00BB3BE8" w:rsidRDefault="00BB3BE8" w:rsidP="00CE7A08">
      <w:pPr>
        <w:pStyle w:val="2"/>
        <w:rPr>
          <w:rtl/>
        </w:rPr>
      </w:pPr>
      <w:bookmarkStart w:id="8" w:name="_Toc431287881"/>
      <w:r>
        <w:rPr>
          <w:rFonts w:hint="cs"/>
          <w:rtl/>
        </w:rPr>
        <w:t>پاسخ دوم</w:t>
      </w:r>
      <w:bookmarkEnd w:id="8"/>
    </w:p>
    <w:p w:rsidR="00BB3BE8" w:rsidRDefault="00BB3BE8" w:rsidP="00493F8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این است که مفهوم به معنی انتفاء نوع حکم نزد انتفاء قید و شرط است،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در اصالة الاحترازیه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انتفاء شخص حکم 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است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مفهوم نخواهد بود.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 xml:space="preserve"> اگر گفت اذا جائک زید فاکرمه، این اکرم اینجا یکی شخص حکم است که وجوب اکرام باشد که بر روی زید آمده است و قطعاً نفی حکم عند انتفاء قید است، ولی این مفهوم نیست؛ چرا که مفهوم نفی نوع حکم است یعنی نوع اکرام دیگر نباشد،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برای تحقق مفهوم باید نوع و جنس حکم محقق نباشد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الا نزد انتفاء موضوع این حکم شخصی نیز مسلوب خواهد بود.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فرض بحث برداشته شدن تمام وجوه اکرام به نوع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493F87" w:rsidRDefault="00BF62BC" w:rsidP="00493F8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شرط عنایت زائده ای است چرا که شرط قید به موضوع نمی‌زند، بلکه قید به حکم می‌زد؛ لذا دارای مفهوم می‌گشت برخلاف وصف </w:t>
      </w:r>
    </w:p>
    <w:p w:rsidR="00A51830" w:rsidRDefault="00CE7A08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که در لقب نیز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اگر اکر</w:t>
      </w:r>
      <w:r w:rsidR="00493F87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>م شخصی برداشته شود،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51830">
        <w:rPr>
          <w:rFonts w:ascii="IRBadr" w:hAnsi="IRBadr" w:cs="IRBadr" w:hint="cs"/>
          <w:sz w:val="28"/>
          <w:szCs w:val="28"/>
          <w:rtl/>
          <w:lang w:bidi="fa-IR"/>
        </w:rPr>
        <w:t xml:space="preserve"> انتزاع نخواهد شد.</w:t>
      </w:r>
    </w:p>
    <w:p w:rsidR="00A51830" w:rsidRDefault="00F01E32" w:rsidP="00CE7A08">
      <w:pPr>
        <w:pStyle w:val="2"/>
        <w:rPr>
          <w:rtl/>
        </w:rPr>
      </w:pPr>
      <w:bookmarkStart w:id="9" w:name="_Toc431287882"/>
      <w:r>
        <w:rPr>
          <w:rFonts w:hint="cs"/>
          <w:rtl/>
        </w:rPr>
        <w:lastRenderedPageBreak/>
        <w:t>ارزیابی پاسخ</w:t>
      </w:r>
      <w:bookmarkEnd w:id="9"/>
    </w:p>
    <w:p w:rsidR="00A51830" w:rsidRDefault="00A51830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پاسخ برخلاف جواب اول،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صح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A51830" w:rsidRDefault="00A51830" w:rsidP="00CE7A08">
      <w:pPr>
        <w:pStyle w:val="2"/>
        <w:rPr>
          <w:rtl/>
        </w:rPr>
      </w:pPr>
      <w:bookmarkStart w:id="10" w:name="_Toc431287883"/>
      <w:r>
        <w:rPr>
          <w:rFonts w:hint="cs"/>
          <w:rtl/>
        </w:rPr>
        <w:t>پاسخ سوم</w:t>
      </w:r>
      <w:bookmarkEnd w:id="10"/>
    </w:p>
    <w:p w:rsidR="00A51830" w:rsidRDefault="00A51830" w:rsidP="00BF62B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سوم 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>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اصالت احترازیه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>این است که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 xml:space="preserve"> گفته شود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 xml:space="preserve">این حکم، حکم جدیدی است اما به این معنی نیست که فاقد این وصف فاقد حکم شود، ممکن است </w:t>
      </w:r>
      <w:r w:rsidR="00BF62BC">
        <w:rPr>
          <w:rFonts w:ascii="IRBadr" w:hAnsi="IRBadr" w:cs="IRBadr"/>
          <w:sz w:val="28"/>
          <w:szCs w:val="28"/>
          <w:rtl/>
          <w:lang w:bidi="fa-IR"/>
        </w:rPr>
        <w:t>فلسفه‌ها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 xml:space="preserve">ی دیگری در اتیان وصف در اینجا باشد؛ مانند اینکه ممکن است متکلم قصد بیان تدریجی حکم را دارد که مرحوم استاد آقای تبریزی این را </w:t>
      </w:r>
      <w:r w:rsidR="00BF62BC">
        <w:rPr>
          <w:rFonts w:ascii="IRBadr" w:hAnsi="IRBadr" w:cs="IRBadr"/>
          <w:sz w:val="28"/>
          <w:szCs w:val="28"/>
          <w:rtl/>
          <w:lang w:bidi="fa-IR"/>
        </w:rPr>
        <w:t>م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 xml:space="preserve">ی‌فرمودند یا ثمره بیان او در این حالت احترازی تأکید باشد و معنای وصف این نیست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انتفاء حکم 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>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فاقد وصف استخراج </w:t>
      </w:r>
      <w:r w:rsidR="00BF62BC">
        <w:rPr>
          <w:rFonts w:ascii="IRBadr" w:hAnsi="IRBadr" w:cs="IRBadr" w:hint="cs"/>
          <w:sz w:val="28"/>
          <w:szCs w:val="28"/>
          <w:rtl/>
          <w:lang w:bidi="fa-IR"/>
        </w:rPr>
        <w:t>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اثبات شئ نفی ماعدا را نخواهد کرد.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اصالت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احترازیه تنها عنایت 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>داشت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بر روی این قید را نشان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معنای سلب حکم از ماعدای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>بو</w:t>
      </w:r>
      <w:r>
        <w:rPr>
          <w:rFonts w:ascii="IRBadr" w:hAnsi="IRBadr" w:cs="IRBadr" w:hint="cs"/>
          <w:sz w:val="28"/>
          <w:szCs w:val="28"/>
          <w:rtl/>
          <w:lang w:bidi="fa-IR"/>
        </w:rPr>
        <w:t>د.</w:t>
      </w:r>
    </w:p>
    <w:p w:rsidR="00501BA1" w:rsidRDefault="00501BA1" w:rsidP="00CE7A08">
      <w:pPr>
        <w:pStyle w:val="2"/>
        <w:rPr>
          <w:rtl/>
        </w:rPr>
      </w:pPr>
      <w:bookmarkStart w:id="11" w:name="_Toc431287884"/>
      <w:r>
        <w:rPr>
          <w:rFonts w:hint="cs"/>
          <w:rtl/>
        </w:rPr>
        <w:t>استدراک از بحث</w:t>
      </w:r>
      <w:bookmarkEnd w:id="11"/>
    </w:p>
    <w:p w:rsidR="00A51830" w:rsidRDefault="00A51830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باید توجه داشت که تأکید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غیر از تأکید معروف است چراکه در اینجا حکم حقیقتاً جدید بوده اما چون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یک‌بار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اکرام به عالم و باری دیگر به عالم عادل 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 xml:space="preserve"> درمجموع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01BA1">
        <w:rPr>
          <w:rFonts w:ascii="IRBadr" w:hAnsi="IRBadr" w:cs="IRBadr" w:hint="cs"/>
          <w:sz w:val="28"/>
          <w:szCs w:val="28"/>
          <w:rtl/>
          <w:lang w:bidi="fa-IR"/>
        </w:rPr>
        <w:t xml:space="preserve">اکرام فرد عالم مورد تأکید قرار </w:t>
      </w:r>
      <w:r w:rsidR="00CE7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E7A0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501BA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E7A08" w:rsidRDefault="00CE7A08" w:rsidP="00CE7A08">
      <w:pPr>
        <w:pStyle w:val="2"/>
        <w:rPr>
          <w:rtl/>
        </w:rPr>
      </w:pPr>
      <w:bookmarkStart w:id="12" w:name="_Toc431287885"/>
      <w:r>
        <w:rPr>
          <w:rFonts w:hint="cs"/>
          <w:rtl/>
        </w:rPr>
        <w:t>تمثیل بحث</w:t>
      </w:r>
      <w:bookmarkEnd w:id="12"/>
    </w:p>
    <w:p w:rsidR="00CE7A08" w:rsidRDefault="00CE7A08" w:rsidP="00E5763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حالت در مستحبات به‌وفور دیده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ی‌شود که هم مطلق عبادت و هم به نحو خاصی مستحب است که در کنار یکدیگر تأکیدی را پدید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ی‌آورند.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سلام به امام </w:t>
      </w:r>
      <w:r>
        <w:rPr>
          <w:rFonts w:ascii="IRBadr" w:hAnsi="IRBadr" w:cs="IRBadr"/>
          <w:sz w:val="28"/>
          <w:szCs w:val="28"/>
          <w:rtl/>
          <w:lang w:bidi="fa-IR"/>
        </w:rPr>
        <w:t>حس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علیه‌السلام) مستحب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E57636"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سلام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به‌مثل آنچه در زیارت عاشورا واردشده،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مستحب</w:t>
      </w:r>
      <w:r w:rsidR="00E57636">
        <w:rPr>
          <w:rFonts w:ascii="IRBadr" w:hAnsi="IRBadr" w:cs="IRBadr" w:hint="cs"/>
          <w:sz w:val="28"/>
          <w:szCs w:val="28"/>
          <w:rtl/>
          <w:lang w:bidi="fa-IR"/>
        </w:rPr>
        <w:t xml:space="preserve"> مؤکد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E7A08" w:rsidRDefault="00CE7A08" w:rsidP="00CE7A08">
      <w:pPr>
        <w:pStyle w:val="2"/>
        <w:rPr>
          <w:rtl/>
        </w:rPr>
      </w:pPr>
      <w:bookmarkStart w:id="13" w:name="_Toc431287886"/>
      <w:r>
        <w:rPr>
          <w:rFonts w:hint="cs"/>
          <w:rtl/>
        </w:rPr>
        <w:lastRenderedPageBreak/>
        <w:t>نتیجه‌گیری</w:t>
      </w:r>
      <w:bookmarkEnd w:id="13"/>
    </w:p>
    <w:p w:rsidR="00CE7A08" w:rsidRDefault="00CE7A08" w:rsidP="006F705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بنابراین از احترازیت قیود مفهوم استخراج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</w:t>
      </w:r>
      <w:r w:rsidR="006F7059">
        <w:rPr>
          <w:rFonts w:ascii="IRBadr" w:hAnsi="IRBadr" w:cs="IRBadr" w:hint="cs"/>
          <w:sz w:val="28"/>
          <w:szCs w:val="28"/>
          <w:rtl/>
          <w:lang w:bidi="fa-IR"/>
        </w:rPr>
        <w:t>نای احترازیت نیز این بود که شخص‌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حکم را مشخص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 و زائد و توضیح نیست و تأکیدی که حکم جدید نباشد را برمی‌دارد.</w:t>
      </w:r>
    </w:p>
    <w:p w:rsidR="00A51830" w:rsidRPr="00BC1C66" w:rsidRDefault="00A51830" w:rsidP="00CE7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51830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0C" w:rsidRDefault="00DB5F0C" w:rsidP="000D5800">
      <w:pPr>
        <w:spacing w:after="0" w:line="240" w:lineRule="auto"/>
      </w:pPr>
      <w:r>
        <w:separator/>
      </w:r>
    </w:p>
  </w:endnote>
  <w:endnote w:type="continuationSeparator" w:id="0">
    <w:p w:rsidR="00DB5F0C" w:rsidRDefault="00DB5F0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8" w:rsidRDefault="00CE7A0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8" w:rsidRDefault="00CE7A08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8" w:rsidRDefault="00CE7A0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0C" w:rsidRDefault="00DB5F0C" w:rsidP="000D5800">
      <w:pPr>
        <w:spacing w:after="0" w:line="240" w:lineRule="auto"/>
      </w:pPr>
      <w:r>
        <w:separator/>
      </w:r>
    </w:p>
  </w:footnote>
  <w:footnote w:type="continuationSeparator" w:id="0">
    <w:p w:rsidR="00DB5F0C" w:rsidRDefault="00DB5F0C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8" w:rsidRDefault="00CE7A0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B3BE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6CF4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BB3BE8">
      <w:rPr>
        <w:rFonts w:ascii="IranNastaliq" w:hAnsi="IranNastaliq" w:cs="IranNastaliq" w:hint="cs"/>
        <w:sz w:val="40"/>
        <w:szCs w:val="40"/>
        <w:rtl/>
        <w:lang w:bidi="fa-IR"/>
      </w:rPr>
      <w:t>747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8" w:rsidRDefault="00CE7A0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5CC7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93F87"/>
    <w:rsid w:val="004B337F"/>
    <w:rsid w:val="004C367A"/>
    <w:rsid w:val="004E7830"/>
    <w:rsid w:val="004F3596"/>
    <w:rsid w:val="00501BA1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6F7059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A7CD2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1830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560B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3BE8"/>
    <w:rsid w:val="00BB5F7E"/>
    <w:rsid w:val="00BB6A1C"/>
    <w:rsid w:val="00BC1C66"/>
    <w:rsid w:val="00BC26F6"/>
    <w:rsid w:val="00BD3122"/>
    <w:rsid w:val="00BD40DA"/>
    <w:rsid w:val="00BF62BC"/>
    <w:rsid w:val="00BF7D9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7A08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B5F0C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57636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1E32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B0560B"/>
    <w:pPr>
      <w:tabs>
        <w:tab w:val="right" w:leader="dot" w:pos="9350"/>
      </w:tabs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0B56-FF12-44B1-A402-965E194E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1045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49</cp:revision>
  <dcterms:created xsi:type="dcterms:W3CDTF">2014-11-18T06:47:00Z</dcterms:created>
  <dcterms:modified xsi:type="dcterms:W3CDTF">2015-09-29T07:32:00Z</dcterms:modified>
</cp:coreProperties>
</file>