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D5" w:rsidRDefault="0082238F" w:rsidP="00B04899">
      <w:pPr>
        <w:bidi/>
        <w:spacing w:line="360" w:lineRule="auto"/>
        <w:jc w:val="both"/>
        <w:rPr>
          <w:noProof/>
        </w:rPr>
      </w:pPr>
      <w:r w:rsidRPr="00CE7A08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 w:rsidRPr="00CE7A08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877CD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877CD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77CD5">
        <w:rPr>
          <w:rFonts w:ascii="IRBadr" w:hAnsi="IRBadr" w:cs="IRBadr"/>
          <w:sz w:val="28"/>
          <w:szCs w:val="28"/>
          <w:lang w:bidi="fa-IR"/>
        </w:rPr>
        <w:instrText>TOC</w:instrText>
      </w:r>
      <w:r w:rsidR="00877CD5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877CD5">
        <w:rPr>
          <w:rFonts w:ascii="IRBadr" w:hAnsi="IRBadr" w:cs="IRBadr"/>
          <w:sz w:val="28"/>
          <w:szCs w:val="28"/>
          <w:lang w:bidi="fa-IR"/>
        </w:rPr>
        <w:instrText>o "</w:instrText>
      </w:r>
      <w:r w:rsidR="00877CD5">
        <w:rPr>
          <w:rFonts w:ascii="IRBadr" w:hAnsi="IRBadr" w:cs="IRBadr"/>
          <w:sz w:val="28"/>
          <w:szCs w:val="28"/>
          <w:rtl/>
          <w:lang w:bidi="fa-IR"/>
        </w:rPr>
        <w:instrText>1-7</w:instrText>
      </w:r>
      <w:r w:rsidR="00877CD5">
        <w:rPr>
          <w:rFonts w:ascii="IRBadr" w:hAnsi="IRBadr" w:cs="IRBadr"/>
          <w:sz w:val="28"/>
          <w:szCs w:val="28"/>
          <w:lang w:bidi="fa-IR"/>
        </w:rPr>
        <w:instrText>" \h \z \u</w:instrText>
      </w:r>
      <w:r w:rsidR="00877CD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77CD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877CD5" w:rsidRPr="00877CD5" w:rsidRDefault="0036650A" w:rsidP="00877CD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16" w:history="1">
        <w:r w:rsidR="00877CD5" w:rsidRPr="00877CD5">
          <w:rPr>
            <w:rStyle w:val="aff1"/>
            <w:rFonts w:ascii="IRBadr" w:hAnsi="IRBadr" w:cs="IRBadr"/>
            <w:noProof/>
            <w:rtl/>
          </w:rPr>
          <w:t>ادله اثبات مفهوم وصف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_Toc431367516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2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17" w:history="1">
        <w:r w:rsidR="00877CD5" w:rsidRPr="00877CD5">
          <w:rPr>
            <w:rStyle w:val="aff1"/>
            <w:rFonts w:ascii="IRBadr" w:hAnsi="IRBadr" w:cs="IRBadr"/>
            <w:noProof/>
            <w:rtl/>
          </w:rPr>
          <w:t>مرور بحث گذشته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_Toc431367517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2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18" w:history="1">
        <w:r w:rsidR="00877CD5" w:rsidRPr="00877CD5">
          <w:rPr>
            <w:rStyle w:val="aff1"/>
            <w:rFonts w:ascii="IRBadr" w:hAnsi="IRBadr" w:cs="IRBadr"/>
            <w:noProof/>
            <w:rtl/>
          </w:rPr>
          <w:t>دلیل اول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_Toc431367518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2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19" w:history="1">
        <w:r w:rsidR="00877CD5" w:rsidRPr="00877CD5">
          <w:rPr>
            <w:rStyle w:val="aff1"/>
            <w:rFonts w:ascii="IRBadr" w:hAnsi="IRBadr" w:cs="IRBadr"/>
            <w:noProof/>
            <w:rtl/>
          </w:rPr>
          <w:t>دلیل دوم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_Toc431367519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2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0" w:history="1">
        <w:r w:rsidR="00877CD5" w:rsidRPr="00877CD5">
          <w:rPr>
            <w:rStyle w:val="aff1"/>
            <w:rFonts w:ascii="IRBadr" w:hAnsi="IRBadr" w:cs="IRBadr"/>
            <w:noProof/>
            <w:rtl/>
          </w:rPr>
          <w:t>پاسخ به استدلال فوق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_Toc431367520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2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1" w:history="1">
        <w:r w:rsidR="00877CD5" w:rsidRPr="00877CD5">
          <w:rPr>
            <w:rStyle w:val="aff1"/>
            <w:rFonts w:ascii="IRBadr" w:hAnsi="IRBadr" w:cs="IRBadr"/>
            <w:noProof/>
            <w:rtl/>
          </w:rPr>
          <w:t>تمثیل بحث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_Toc431367521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3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2" w:history="1">
        <w:r w:rsidR="00877CD5" w:rsidRPr="00877CD5">
          <w:rPr>
            <w:rStyle w:val="aff1"/>
            <w:rFonts w:ascii="IRBadr" w:hAnsi="IRBadr" w:cs="IRBadr"/>
            <w:noProof/>
            <w:rtl/>
          </w:rPr>
          <w:t>کلام آقای وحید در این مقام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_Toc431367522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3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3" w:history="1">
        <w:r w:rsidR="00877CD5" w:rsidRPr="00877CD5">
          <w:rPr>
            <w:rStyle w:val="aff1"/>
            <w:rFonts w:ascii="IRBadr" w:hAnsi="IRBadr" w:cs="IRBadr"/>
            <w:noProof/>
            <w:rtl/>
          </w:rPr>
          <w:t>نتیجه‌گیری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_Toc431367523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3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4" w:history="1">
        <w:r w:rsidR="00877CD5" w:rsidRPr="00877CD5">
          <w:rPr>
            <w:rStyle w:val="aff1"/>
            <w:rFonts w:ascii="IRBadr" w:hAnsi="IRBadr" w:cs="IRBadr"/>
            <w:noProof/>
            <w:rtl/>
          </w:rPr>
          <w:t>وجه سوم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_Toc431367524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3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5" w:history="1">
        <w:r w:rsidR="00877CD5" w:rsidRPr="00877CD5">
          <w:rPr>
            <w:rStyle w:val="aff1"/>
            <w:rFonts w:ascii="IRBadr" w:hAnsi="IRBadr" w:cs="IRBadr"/>
            <w:noProof/>
            <w:rtl/>
          </w:rPr>
          <w:t>اجوبه بحث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_Toc431367525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3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6" w:history="1">
        <w:r w:rsidR="00877CD5" w:rsidRPr="00877CD5">
          <w:rPr>
            <w:rStyle w:val="aff1"/>
            <w:rFonts w:ascii="IRBadr" w:hAnsi="IRBadr" w:cs="IRBadr"/>
            <w:noProof/>
            <w:rtl/>
          </w:rPr>
          <w:t>پاسخ اول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_Toc431367526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4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7" w:history="1">
        <w:r w:rsidR="00877CD5" w:rsidRPr="00877CD5">
          <w:rPr>
            <w:rStyle w:val="aff1"/>
            <w:rFonts w:ascii="IRBadr" w:hAnsi="IRBadr" w:cs="IRBadr"/>
            <w:noProof/>
            <w:rtl/>
          </w:rPr>
          <w:t>خدشه در استدلال فوق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_Toc431367527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4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8" w:history="1">
        <w:r w:rsidR="00877CD5" w:rsidRPr="00877CD5">
          <w:rPr>
            <w:rStyle w:val="aff1"/>
            <w:rFonts w:ascii="IRBadr" w:hAnsi="IRBadr" w:cs="IRBadr"/>
            <w:noProof/>
            <w:rtl/>
          </w:rPr>
          <w:t>معانی اشعار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_Toc431367528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4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29" w:history="1">
        <w:r w:rsidR="00877CD5" w:rsidRPr="00877CD5">
          <w:rPr>
            <w:rStyle w:val="aff1"/>
            <w:rFonts w:ascii="IRBadr" w:hAnsi="IRBadr" w:cs="IRBadr"/>
            <w:noProof/>
            <w:rtl/>
          </w:rPr>
          <w:t>نتیجه‌گیری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_Toc431367529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4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30" w:history="1">
        <w:r w:rsidR="00877CD5" w:rsidRPr="00877CD5">
          <w:rPr>
            <w:rStyle w:val="aff1"/>
            <w:rFonts w:ascii="IRBadr" w:hAnsi="IRBadr" w:cs="IRBadr"/>
            <w:noProof/>
            <w:rtl/>
          </w:rPr>
          <w:t>پاسخ دوم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_Toc431367530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4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31" w:history="1">
        <w:r w:rsidR="00877CD5" w:rsidRPr="00877CD5">
          <w:rPr>
            <w:rStyle w:val="aff1"/>
            <w:rFonts w:ascii="IRBadr" w:hAnsi="IRBadr" w:cs="IRBadr"/>
            <w:noProof/>
            <w:rtl/>
          </w:rPr>
          <w:t>اتخاذ مبنا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_Toc431367531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5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32" w:history="1">
        <w:r w:rsidR="00877CD5" w:rsidRPr="00877CD5">
          <w:rPr>
            <w:rStyle w:val="aff1"/>
            <w:rFonts w:ascii="IRBadr" w:hAnsi="IRBadr" w:cs="IRBadr"/>
            <w:noProof/>
            <w:rtl/>
          </w:rPr>
          <w:t>پاسخ سوم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_Toc431367532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5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Pr="00877CD5" w:rsidRDefault="0036650A" w:rsidP="00877CD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1367533" w:history="1">
        <w:r w:rsidR="00877CD5" w:rsidRPr="00877CD5">
          <w:rPr>
            <w:rStyle w:val="aff1"/>
            <w:rFonts w:ascii="IRBadr" w:hAnsi="IRBadr" w:cs="IRBadr"/>
            <w:noProof/>
            <w:rtl/>
          </w:rPr>
          <w:t>جمع‌بندی</w:t>
        </w:r>
        <w:r w:rsidR="00877CD5" w:rsidRPr="00877CD5">
          <w:rPr>
            <w:rFonts w:ascii="IRBadr" w:hAnsi="IRBadr" w:cs="IRBadr"/>
            <w:noProof/>
            <w:webHidden/>
          </w:rPr>
          <w:tab/>
        </w:r>
        <w:r w:rsidR="00877CD5" w:rsidRPr="00877CD5">
          <w:rPr>
            <w:rFonts w:ascii="IRBadr" w:hAnsi="IRBadr" w:cs="IRBadr"/>
            <w:noProof/>
            <w:webHidden/>
          </w:rPr>
          <w:fldChar w:fldCharType="begin"/>
        </w:r>
        <w:r w:rsidR="00877CD5" w:rsidRPr="00877CD5">
          <w:rPr>
            <w:rFonts w:ascii="IRBadr" w:hAnsi="IRBadr" w:cs="IRBadr"/>
            <w:noProof/>
            <w:webHidden/>
          </w:rPr>
          <w:instrText xml:space="preserve"> PAGEREF _Toc431367533 \h </w:instrText>
        </w:r>
        <w:r w:rsidR="00877CD5" w:rsidRPr="00877CD5">
          <w:rPr>
            <w:rFonts w:ascii="IRBadr" w:hAnsi="IRBadr" w:cs="IRBadr"/>
            <w:noProof/>
            <w:webHidden/>
          </w:rPr>
        </w:r>
        <w:r w:rsidR="00877CD5" w:rsidRPr="00877CD5">
          <w:rPr>
            <w:rFonts w:ascii="IRBadr" w:hAnsi="IRBadr" w:cs="IRBadr"/>
            <w:noProof/>
            <w:webHidden/>
          </w:rPr>
          <w:fldChar w:fldCharType="separate"/>
        </w:r>
        <w:r w:rsidR="00877CD5" w:rsidRPr="00877CD5">
          <w:rPr>
            <w:rFonts w:ascii="IRBadr" w:hAnsi="IRBadr" w:cs="IRBadr"/>
            <w:noProof/>
            <w:webHidden/>
          </w:rPr>
          <w:t>5</w:t>
        </w:r>
        <w:r w:rsidR="00877CD5" w:rsidRPr="00877CD5">
          <w:rPr>
            <w:rFonts w:ascii="IRBadr" w:hAnsi="IRBadr" w:cs="IRBadr"/>
            <w:noProof/>
            <w:webHidden/>
          </w:rPr>
          <w:fldChar w:fldCharType="end"/>
        </w:r>
      </w:hyperlink>
    </w:p>
    <w:p w:rsidR="00877CD5" w:rsidRDefault="00877CD5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77CD5" w:rsidRDefault="00877CD5" w:rsidP="00877CD5">
      <w:pPr>
        <w:spacing w:after="0" w:line="240" w:lineRule="auto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126A7" w:rsidRPr="00877CD5" w:rsidRDefault="006126A7" w:rsidP="00877CD5">
      <w:pPr>
        <w:pStyle w:val="1"/>
        <w:rPr>
          <w:rFonts w:ascii="IRBadr" w:hAnsi="IRBadr" w:cs="IRBadr"/>
          <w:szCs w:val="28"/>
          <w:rtl/>
        </w:rPr>
      </w:pPr>
      <w:bookmarkStart w:id="0" w:name="_Toc431367516"/>
      <w:r w:rsidRPr="00877CD5">
        <w:rPr>
          <w:rFonts w:ascii="IRBadr" w:hAnsi="IRBadr" w:cs="IRBadr"/>
          <w:rtl/>
        </w:rPr>
        <w:lastRenderedPageBreak/>
        <w:t>ادله اثبات مفهوم وصف</w:t>
      </w:r>
      <w:bookmarkEnd w:id="0"/>
    </w:p>
    <w:p w:rsidR="006126A7" w:rsidRPr="00877CD5" w:rsidRDefault="006126A7" w:rsidP="00877CD5">
      <w:pPr>
        <w:pStyle w:val="1"/>
        <w:rPr>
          <w:rFonts w:ascii="IRBadr" w:hAnsi="IRBadr" w:cs="IRBadr"/>
          <w:rtl/>
        </w:rPr>
      </w:pPr>
      <w:bookmarkStart w:id="1" w:name="_Toc431367517"/>
      <w:r w:rsidRPr="00877CD5">
        <w:rPr>
          <w:rFonts w:ascii="IRBadr" w:hAnsi="IRBadr" w:cs="IRBadr"/>
          <w:rtl/>
        </w:rPr>
        <w:t>مرور بحث گذشته</w:t>
      </w:r>
      <w:bookmarkEnd w:id="1"/>
    </w:p>
    <w:p w:rsidR="006126A7" w:rsidRPr="00877CD5" w:rsidRDefault="006126A7" w:rsidP="00877CD5">
      <w:pPr>
        <w:pStyle w:val="1"/>
        <w:rPr>
          <w:rFonts w:ascii="IRBadr" w:hAnsi="IRBadr" w:cs="IRBadr"/>
          <w:rtl/>
        </w:rPr>
      </w:pPr>
      <w:bookmarkStart w:id="2" w:name="_Toc431367518"/>
      <w:r w:rsidRPr="00877CD5">
        <w:rPr>
          <w:rFonts w:ascii="IRBadr" w:hAnsi="IRBadr" w:cs="IRBadr"/>
          <w:rtl/>
        </w:rPr>
        <w:t>دلیل اول</w:t>
      </w:r>
      <w:bookmarkEnd w:id="2"/>
    </w:p>
    <w:p w:rsidR="006126A7" w:rsidRPr="00877CD5" w:rsidRDefault="004F0730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در ادله اثبات مفهوم وصف بحث بود،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اولین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دلیل اصالت الاحترازیه بود که مستلزم مفهوم است که بدان پاسخ داده شد</w:t>
      </w:r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126A7" w:rsidRPr="00877CD5" w:rsidRDefault="006126A7" w:rsidP="00877CD5">
      <w:pPr>
        <w:pStyle w:val="1"/>
        <w:rPr>
          <w:rFonts w:ascii="IRBadr" w:hAnsi="IRBadr" w:cs="IRBadr"/>
          <w:rtl/>
        </w:rPr>
      </w:pPr>
      <w:bookmarkStart w:id="3" w:name="_Toc431367519"/>
      <w:r w:rsidRPr="00877CD5">
        <w:rPr>
          <w:rFonts w:ascii="IRBadr" w:hAnsi="IRBadr" w:cs="IRBadr"/>
          <w:rtl/>
        </w:rPr>
        <w:t>دلیل دوم</w:t>
      </w:r>
      <w:bookmarkEnd w:id="3"/>
      <w:r w:rsidR="00F268B4">
        <w:rPr>
          <w:rFonts w:ascii="IRBadr" w:hAnsi="IRBadr" w:cs="IRBadr" w:hint="cs"/>
          <w:rtl/>
        </w:rPr>
        <w:t xml:space="preserve"> : نفی مفهوم، موجب لغویت وصف </w:t>
      </w:r>
    </w:p>
    <w:p w:rsidR="00A1445D" w:rsidRPr="00877CD5" w:rsidRDefault="004F0730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دلیل دوم این است که نفی مفهوم از اوصاف و قیود مستلزم لغویت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آن‌هاست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عبارت دیگر مولای حکیم وقتی قیدی را در کلام اخذ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قطعاً در آن حکمتی وجود دارد،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فرض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بحث نیز در مولای حکیم است.</w:t>
      </w:r>
    </w:p>
    <w:p w:rsidR="004F0730" w:rsidRPr="00877CD5" w:rsidRDefault="004F0730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این کبرای قیاس است و صغرای اینکه اخذ قید بدون مفهوم لغو است.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واقع روح دلالت زیادت مبانی بر زیادت معانی همین است.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4" w:name="_Toc431367520"/>
      <w:r w:rsidRPr="00877CD5">
        <w:rPr>
          <w:rFonts w:ascii="IRBadr" w:hAnsi="IRBadr" w:cs="IRBadr"/>
          <w:rtl/>
        </w:rPr>
        <w:t>پاسخ به استدلال فوق</w:t>
      </w:r>
      <w:bookmarkEnd w:id="4"/>
    </w:p>
    <w:p w:rsidR="004F0730" w:rsidRPr="00877CD5" w:rsidRDefault="00D570AD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در پ</w:t>
      </w:r>
      <w:r w:rsidR="004F0730" w:rsidRPr="00877CD5">
        <w:rPr>
          <w:rFonts w:ascii="IRBadr" w:hAnsi="IRBadr" w:cs="IRBadr"/>
          <w:sz w:val="28"/>
          <w:szCs w:val="28"/>
          <w:rtl/>
          <w:lang w:bidi="fa-IR"/>
        </w:rPr>
        <w:t xml:space="preserve">اسخ به این استدلال باید گفت کبرا مورد قبول است که حتی حرفی در کلام متکلم حکیم بدون وجهی ذکر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4F0730" w:rsidRPr="00877CD5">
        <w:rPr>
          <w:rFonts w:ascii="IRBadr" w:hAnsi="IRBadr" w:cs="IRBadr"/>
          <w:sz w:val="28"/>
          <w:szCs w:val="28"/>
          <w:rtl/>
          <w:lang w:bidi="fa-IR"/>
        </w:rPr>
        <w:t>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4F0730" w:rsidRPr="00877CD5">
        <w:rPr>
          <w:rFonts w:ascii="IRBadr" w:hAnsi="IRBadr" w:cs="IRBadr"/>
          <w:sz w:val="28"/>
          <w:szCs w:val="28"/>
          <w:rtl/>
          <w:lang w:bidi="fa-IR"/>
        </w:rPr>
        <w:t xml:space="preserve"> حروف زائد نداریم مگر اینکه آن حرف معنای جدیدی را افاده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F0730" w:rsidRPr="00877CD5">
        <w:rPr>
          <w:rFonts w:ascii="IRBadr" w:hAnsi="IRBadr" w:cs="IRBadr"/>
          <w:sz w:val="28"/>
          <w:szCs w:val="28"/>
          <w:rtl/>
          <w:lang w:bidi="fa-IR"/>
        </w:rPr>
        <w:t>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F0730" w:rsidRPr="00877CD5">
        <w:rPr>
          <w:rFonts w:ascii="IRBadr" w:hAnsi="IRBadr" w:cs="IRBadr"/>
          <w:sz w:val="28"/>
          <w:szCs w:val="28"/>
          <w:rtl/>
          <w:lang w:bidi="fa-IR"/>
        </w:rPr>
        <w:t xml:space="preserve"> در اینجا سخن بر تطبیق آن مفهوم است.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مفهوم در اینجا لازم اعم است،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که یکی از آن موارد است.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خروج از لغویت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مفهوم مساوی نیست.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5" w:name="_Toc431367521"/>
      <w:r w:rsidRPr="00877CD5">
        <w:rPr>
          <w:rFonts w:ascii="IRBadr" w:hAnsi="IRBadr" w:cs="IRBadr"/>
          <w:rtl/>
        </w:rPr>
        <w:lastRenderedPageBreak/>
        <w:t>تمثیل بحث</w:t>
      </w:r>
      <w:bookmarkEnd w:id="5"/>
    </w:p>
    <w:p w:rsidR="00D570AD" w:rsidRPr="00877CD5" w:rsidRDefault="00D570AD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در شریعت بسیاری از احکام وجود دارد که حالت طولی دارد،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حکمی در قبال زیارت امام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حسین (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ع) وارد شده به نحو مطلق،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حکمی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به زیارت مخصوصه تعلق گرفته است و حکمی نیز به زیارت خاص با حالتی خاص تعلق گرفته است همانند این که در نماز و نوافل و نافله شب بدین صورت است.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هیچ مانعی ندارد که حکم در مطلق آن امر وجود داشته باشد.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6" w:name="_Toc431367522"/>
      <w:r w:rsidRPr="00877CD5">
        <w:rPr>
          <w:rFonts w:ascii="IRBadr" w:hAnsi="IRBadr" w:cs="IRBadr"/>
          <w:rtl/>
        </w:rPr>
        <w:t>کلام آقای وحید در این مقام</w:t>
      </w:r>
      <w:bookmarkEnd w:id="6"/>
    </w:p>
    <w:p w:rsidR="00D570AD" w:rsidRPr="00877CD5" w:rsidRDefault="004B31F7" w:rsidP="00F268B4">
      <w:pPr>
        <w:pStyle w:val="aff2"/>
        <w:bidi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البته وجوه دیگری ممکن است موجود باشد،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آقای وحید در آیه شریفه </w:t>
      </w:r>
      <w:r w:rsidR="00F268B4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="00F268B4" w:rsidRPr="00F268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لا تَقْتُلُوا أَوْلادَكُمْ خَشْيَةَ إِمْلاق</w:t>
      </w:r>
      <w:r w:rsidR="00F268B4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F268B4">
        <w:rPr>
          <w:rStyle w:val="aff0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  <w:r w:rsidR="00F268B4" w:rsidRPr="00F268B4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‏</w:t>
      </w:r>
      <w:r w:rsidR="00F268B4" w:rsidRPr="00877C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حکم حرمت قتل منوط به خشیة فوق نیست،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آیه اشاره به رویدادی در آن زمان دارد.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ممکن است قیدی ذک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>ر شود که دخیل در حکم نیز نباشد. دارای فلسفه دیگری باشد.</w:t>
      </w:r>
    </w:p>
    <w:p w:rsidR="006126A7" w:rsidRPr="00877CD5" w:rsidRDefault="00877CD5" w:rsidP="00B04899">
      <w:pPr>
        <w:pStyle w:val="2"/>
        <w:rPr>
          <w:rFonts w:ascii="IRBadr" w:hAnsi="IRBadr" w:cs="IRBadr"/>
          <w:rtl/>
        </w:rPr>
      </w:pPr>
      <w:bookmarkStart w:id="7" w:name="_Toc431367523"/>
      <w:r w:rsidRPr="00877CD5">
        <w:rPr>
          <w:rFonts w:ascii="IRBadr" w:hAnsi="IRBadr" w:cs="IRBadr"/>
          <w:rtl/>
        </w:rPr>
        <w:t>نتیجه‌گیری</w:t>
      </w:r>
      <w:bookmarkEnd w:id="7"/>
    </w:p>
    <w:p w:rsidR="00D570AD" w:rsidRPr="00877CD5" w:rsidRDefault="00877CD5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4B31F7" w:rsidRPr="00877CD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4B31F7" w:rsidRPr="00877CD5">
        <w:rPr>
          <w:rFonts w:ascii="IRBadr" w:hAnsi="IRBadr" w:cs="IRBadr"/>
          <w:sz w:val="28"/>
          <w:szCs w:val="28"/>
          <w:rtl/>
          <w:lang w:bidi="fa-IR"/>
        </w:rPr>
        <w:t xml:space="preserve"> برداشت قید در موارد بسیاری،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4B31F7" w:rsidRPr="00877CD5">
        <w:rPr>
          <w:rFonts w:ascii="IRBadr" w:hAnsi="IRBadr" w:cs="IRBadr"/>
          <w:sz w:val="28"/>
          <w:szCs w:val="28"/>
          <w:rtl/>
          <w:lang w:bidi="fa-IR"/>
        </w:rPr>
        <w:t xml:space="preserve"> ثابت است و به مطلق تعلق گرفته است. ضمناً در طی این بیان فرمایش آقای خویی نیز رد 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B31F7" w:rsidRPr="00877CD5">
        <w:rPr>
          <w:rFonts w:ascii="IRBadr" w:hAnsi="IRBadr" w:cs="IRBadr"/>
          <w:sz w:val="28"/>
          <w:szCs w:val="28"/>
          <w:rtl/>
          <w:lang w:bidi="fa-IR"/>
        </w:rPr>
        <w:t>.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 xml:space="preserve"> صرف نقش داشتن وصف در حکم جهت خروج از لغویت کفایت 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126A7" w:rsidRPr="00877CD5" w:rsidRDefault="00176CB2" w:rsidP="00B04899">
      <w:pPr>
        <w:pStyle w:val="2"/>
        <w:rPr>
          <w:rFonts w:ascii="IRBadr" w:hAnsi="IRBadr" w:cs="IRBadr"/>
          <w:rtl/>
        </w:rPr>
      </w:pPr>
      <w:bookmarkStart w:id="8" w:name="_Toc431367524"/>
      <w:r>
        <w:rPr>
          <w:rFonts w:ascii="IRBadr" w:hAnsi="IRBadr" w:cs="IRBadr" w:hint="cs"/>
          <w:rtl/>
        </w:rPr>
        <w:t>دلیل</w:t>
      </w:r>
      <w:r w:rsidR="006126A7" w:rsidRPr="00877CD5">
        <w:rPr>
          <w:rFonts w:ascii="IRBadr" w:hAnsi="IRBadr" w:cs="IRBadr"/>
          <w:rtl/>
        </w:rPr>
        <w:t xml:space="preserve"> سوم</w:t>
      </w:r>
      <w:bookmarkEnd w:id="8"/>
      <w:r>
        <w:rPr>
          <w:rFonts w:ascii="IRBadr" w:hAnsi="IRBadr" w:cs="IRBadr" w:hint="cs"/>
          <w:rtl/>
        </w:rPr>
        <w:t>: مشعر به علیت بودن وصف</w:t>
      </w:r>
    </w:p>
    <w:p w:rsidR="009F1B94" w:rsidRPr="00877CD5" w:rsidRDefault="00877CD5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وجه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 xml:space="preserve"> سوم این است که؛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وصف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 xml:space="preserve"> مشعر به علیت است.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 xml:space="preserve"> کلام مشهوری است که در ادبیات نیز وجود دارد.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 xml:space="preserve"> با انتفاء علیت حکم نیز منتفی خواهد شد.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9" w:name="_Toc431367525"/>
      <w:r w:rsidRPr="00877CD5">
        <w:rPr>
          <w:rFonts w:ascii="IRBadr" w:hAnsi="IRBadr" w:cs="IRBadr"/>
          <w:rtl/>
        </w:rPr>
        <w:t>اجوبه بحث</w:t>
      </w:r>
      <w:bookmarkEnd w:id="9"/>
    </w:p>
    <w:p w:rsidR="006126A7" w:rsidRPr="00877CD5" w:rsidRDefault="006126A7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چند پ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>اسخ به این استدلال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 xml:space="preserve"> داده</w:t>
      </w:r>
      <w:r w:rsidR="009F1B94" w:rsidRPr="00877CD5">
        <w:rPr>
          <w:rFonts w:ascii="IRBadr" w:hAnsi="IRBadr" w:cs="IRBadr"/>
          <w:sz w:val="28"/>
          <w:szCs w:val="28"/>
          <w:rtl/>
          <w:lang w:bidi="fa-IR"/>
        </w:rPr>
        <w:t xml:space="preserve"> شده است؛</w:t>
      </w:r>
    </w:p>
    <w:p w:rsidR="009F1B94" w:rsidRPr="00877CD5" w:rsidRDefault="006126A7" w:rsidP="00B04899">
      <w:pPr>
        <w:pStyle w:val="2"/>
        <w:rPr>
          <w:rFonts w:ascii="IRBadr" w:hAnsi="IRBadr" w:cs="IRBadr"/>
          <w:rtl/>
        </w:rPr>
      </w:pPr>
      <w:bookmarkStart w:id="10" w:name="_Toc431367526"/>
      <w:r w:rsidRPr="00877CD5">
        <w:rPr>
          <w:rFonts w:ascii="IRBadr" w:hAnsi="IRBadr" w:cs="IRBadr"/>
          <w:rtl/>
        </w:rPr>
        <w:lastRenderedPageBreak/>
        <w:t>پاسخ اول</w:t>
      </w:r>
      <w:bookmarkEnd w:id="10"/>
    </w:p>
    <w:p w:rsidR="006126A7" w:rsidRPr="00877CD5" w:rsidRDefault="009F1B94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دلیلی بر این قاعده وجود ندارد،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به جای ظهور اشعار گفته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11" w:name="_Toc431367527"/>
      <w:r w:rsidRPr="00877CD5">
        <w:rPr>
          <w:rFonts w:ascii="IRBadr" w:hAnsi="IRBadr" w:cs="IRBadr"/>
          <w:rtl/>
        </w:rPr>
        <w:t>خدشه در استدلال فوق</w:t>
      </w:r>
      <w:bookmarkEnd w:id="11"/>
    </w:p>
    <w:p w:rsidR="009F1B94" w:rsidRPr="00877CD5" w:rsidRDefault="009F1B94" w:rsidP="00176C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اما این جواب تا این حد قابل خدشه است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چراکه مراد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 xml:space="preserve"> از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علیت در اینجا علیت حقیقی نیست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بلکه مراد از آن مورد دخیل در حکم است.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اشعار در اینجا به</w:t>
      </w:r>
      <w:r w:rsidR="00176CB2">
        <w:rPr>
          <w:rFonts w:ascii="IRBadr" w:hAnsi="IRBadr" w:cs="IRBadr"/>
          <w:sz w:val="28"/>
          <w:szCs w:val="28"/>
          <w:rtl/>
          <w:lang w:bidi="fa-IR"/>
        </w:rPr>
        <w:t xml:space="preserve"> معنای عام است و ظهور را نیز در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 xml:space="preserve">بر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12" w:name="_Toc431367528"/>
      <w:r w:rsidRPr="00877CD5">
        <w:rPr>
          <w:rFonts w:ascii="IRBadr" w:hAnsi="IRBadr" w:cs="IRBadr"/>
          <w:rtl/>
        </w:rPr>
        <w:t>معانی اشعار</w:t>
      </w:r>
      <w:bookmarkEnd w:id="12"/>
    </w:p>
    <w:p w:rsidR="009F1B94" w:rsidRPr="00877CD5" w:rsidRDefault="009F1B94" w:rsidP="00176C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علیت در اینجا در امور اعتباری قصد شده است.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اشعار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نیز دارای دو معناست که یک معنا</w:t>
      </w:r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 xml:space="preserve"> در مقابل ظهور است و معنی دیگر 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آن عام است.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به نظر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این جمله صحیح است</w:t>
      </w:r>
      <w:r w:rsidR="00176CB2">
        <w:rPr>
          <w:rFonts w:ascii="IRBadr" w:hAnsi="IRBadr" w:cs="IRBadr"/>
          <w:sz w:val="28"/>
          <w:szCs w:val="28"/>
          <w:rtl/>
          <w:lang w:bidi="fa-IR"/>
        </w:rPr>
        <w:t xml:space="preserve"> و مراد از اشعار در آن ظهور است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6CB2" w:rsidRPr="00877CD5">
        <w:rPr>
          <w:rFonts w:ascii="IRBadr" w:hAnsi="IRBadr" w:cs="IRBadr"/>
          <w:sz w:val="28"/>
          <w:szCs w:val="28"/>
          <w:rtl/>
          <w:lang w:bidi="fa-IR"/>
        </w:rPr>
        <w:t>مانند آیه‌ای که در کلام آقای وحید ذکرشده بود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مگر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اینکه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برخلاف آن وجود داشته باشد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6126A7" w:rsidRPr="00877CD5" w:rsidRDefault="00877CD5" w:rsidP="00B04899">
      <w:pPr>
        <w:pStyle w:val="2"/>
        <w:rPr>
          <w:rFonts w:ascii="IRBadr" w:hAnsi="IRBadr" w:cs="IRBadr"/>
          <w:rtl/>
        </w:rPr>
      </w:pPr>
      <w:bookmarkStart w:id="13" w:name="_Toc431367529"/>
      <w:r w:rsidRPr="00877CD5">
        <w:rPr>
          <w:rFonts w:ascii="IRBadr" w:hAnsi="IRBadr" w:cs="IRBadr"/>
          <w:rtl/>
        </w:rPr>
        <w:t>نتیجه‌گیری</w:t>
      </w:r>
      <w:bookmarkEnd w:id="13"/>
    </w:p>
    <w:p w:rsidR="009F1B94" w:rsidRPr="00877CD5" w:rsidRDefault="009F1B94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لذا این وجه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ما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14" w:name="_Toc431367530"/>
      <w:r w:rsidRPr="00877CD5">
        <w:rPr>
          <w:rFonts w:ascii="IRBadr" w:hAnsi="IRBadr" w:cs="IRBadr"/>
          <w:rtl/>
        </w:rPr>
        <w:t>پاسخ دوم</w:t>
      </w:r>
      <w:bookmarkEnd w:id="14"/>
    </w:p>
    <w:p w:rsidR="006126A7" w:rsidRPr="00877CD5" w:rsidRDefault="006126A7" w:rsidP="00176C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جواب دوم این است که علیت را قبول داریم ولی پیدایش مفهوم متوقف بر تشکیل علیت انحصاریه است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که در قبال علت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که حکم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او موجود و با انتفاء آن، منتفی 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،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علت تامه منحصره است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 xml:space="preserve"> و حال آنکه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سخن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در اشعار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 xml:space="preserve"> مورد نظر،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در علیت انحصاریه نیست.</w:t>
      </w:r>
    </w:p>
    <w:p w:rsidR="006126A7" w:rsidRPr="00877CD5" w:rsidRDefault="00176CB2" w:rsidP="00B04899">
      <w:pPr>
        <w:pStyle w:val="2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>ارزیابی پاسخ</w:t>
      </w:r>
    </w:p>
    <w:p w:rsidR="006126A7" w:rsidRPr="00877CD5" w:rsidRDefault="006126A7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این پاسخ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>، پاسخ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صحیحی است.</w:t>
      </w:r>
    </w:p>
    <w:p w:rsidR="006126A7" w:rsidRPr="00877CD5" w:rsidRDefault="006126A7" w:rsidP="00B04899">
      <w:pPr>
        <w:pStyle w:val="2"/>
        <w:rPr>
          <w:rFonts w:ascii="IRBadr" w:hAnsi="IRBadr" w:cs="IRBadr"/>
          <w:rtl/>
        </w:rPr>
      </w:pPr>
      <w:bookmarkStart w:id="15" w:name="_Toc431367532"/>
      <w:r w:rsidRPr="00877CD5">
        <w:rPr>
          <w:rFonts w:ascii="IRBadr" w:hAnsi="IRBadr" w:cs="IRBadr"/>
          <w:rtl/>
        </w:rPr>
        <w:t>پاسخ سوم</w:t>
      </w:r>
      <w:bookmarkEnd w:id="15"/>
    </w:p>
    <w:p w:rsidR="006126A7" w:rsidRPr="00877CD5" w:rsidRDefault="006126A7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پاسخ سوم نیز این است که علیت باید برای نوع حکم باشد نه شخص حکم.</w:t>
      </w:r>
    </w:p>
    <w:p w:rsidR="006126A7" w:rsidRPr="00877CD5" w:rsidRDefault="00877CD5" w:rsidP="00B04899">
      <w:pPr>
        <w:pStyle w:val="2"/>
        <w:rPr>
          <w:rFonts w:ascii="IRBadr" w:hAnsi="IRBadr" w:cs="IRBadr"/>
          <w:rtl/>
        </w:rPr>
      </w:pPr>
      <w:bookmarkStart w:id="16" w:name="_Toc431367533"/>
      <w:r w:rsidRPr="00877CD5">
        <w:rPr>
          <w:rFonts w:ascii="IRBadr" w:hAnsi="IRBadr" w:cs="IRBadr"/>
          <w:rtl/>
        </w:rPr>
        <w:t>جمع‌بندی</w:t>
      </w:r>
      <w:bookmarkEnd w:id="16"/>
    </w:p>
    <w:p w:rsidR="00176CB2" w:rsidRDefault="00877CD5" w:rsidP="00176C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 xml:space="preserve"> باید سه قید مأخوذ شود تا این استدلال 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>تام باشد</w:t>
      </w:r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176CB2" w:rsidRDefault="00877CD5" w:rsidP="00176C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77C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76CB2">
        <w:rPr>
          <w:rFonts w:ascii="IRBadr" w:hAnsi="IRBadr" w:cs="IRBadr" w:hint="cs"/>
          <w:sz w:val="28"/>
          <w:szCs w:val="28"/>
          <w:rtl/>
          <w:lang w:bidi="fa-IR"/>
        </w:rPr>
        <w:t xml:space="preserve">1. </w:t>
      </w:r>
      <w:r w:rsidRPr="00877CD5">
        <w:rPr>
          <w:rFonts w:ascii="IRBadr" w:hAnsi="IRBadr" w:cs="IRBadr"/>
          <w:sz w:val="28"/>
          <w:szCs w:val="28"/>
          <w:rtl/>
          <w:lang w:bidi="fa-IR"/>
        </w:rPr>
        <w:t>وجود</w:t>
      </w:r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 xml:space="preserve"> علیت،</w:t>
      </w:r>
    </w:p>
    <w:p w:rsidR="00176CB2" w:rsidRDefault="00176CB2" w:rsidP="00176C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2.</w:t>
      </w:r>
      <w:r w:rsidR="00877CD5" w:rsidRPr="00877CD5">
        <w:rPr>
          <w:rFonts w:ascii="IRBadr" w:hAnsi="IRBadr" w:cs="IRBadr"/>
          <w:sz w:val="28"/>
          <w:szCs w:val="28"/>
          <w:rtl/>
          <w:lang w:bidi="fa-IR"/>
        </w:rPr>
        <w:t xml:space="preserve"> علیت</w:t>
      </w:r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 xml:space="preserve"> تامه انحصاریه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bookmarkStart w:id="17" w:name="_GoBack"/>
      <w:bookmarkEnd w:id="17"/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6126A7" w:rsidRPr="00877CD5" w:rsidRDefault="00176CB2" w:rsidP="00176C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3.</w:t>
      </w:r>
      <w:r w:rsidR="006126A7" w:rsidRPr="00877CD5">
        <w:rPr>
          <w:rFonts w:ascii="IRBadr" w:hAnsi="IRBadr" w:cs="IRBadr"/>
          <w:sz w:val="28"/>
          <w:szCs w:val="28"/>
          <w:rtl/>
          <w:lang w:bidi="fa-IR"/>
        </w:rPr>
        <w:t xml:space="preserve"> علیت نوعی برای حکم.</w:t>
      </w:r>
    </w:p>
    <w:p w:rsidR="009F1B94" w:rsidRPr="00877CD5" w:rsidRDefault="009F1B94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F1B94" w:rsidRPr="00877CD5" w:rsidRDefault="009F1B94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F0730" w:rsidRPr="00877CD5" w:rsidRDefault="004F0730" w:rsidP="00B0489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4F0730" w:rsidRPr="00877CD5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0A" w:rsidRDefault="0036650A" w:rsidP="000D5800">
      <w:pPr>
        <w:spacing w:after="0" w:line="240" w:lineRule="auto"/>
      </w:pPr>
      <w:r>
        <w:separator/>
      </w:r>
    </w:p>
  </w:endnote>
  <w:endnote w:type="continuationSeparator" w:id="0">
    <w:p w:rsidR="0036650A" w:rsidRDefault="0036650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0A" w:rsidRDefault="0036650A" w:rsidP="000D5800">
      <w:pPr>
        <w:spacing w:after="0" w:line="240" w:lineRule="auto"/>
      </w:pPr>
      <w:r>
        <w:separator/>
      </w:r>
    </w:p>
  </w:footnote>
  <w:footnote w:type="continuationSeparator" w:id="0">
    <w:p w:rsidR="0036650A" w:rsidRDefault="0036650A" w:rsidP="000D5800">
      <w:pPr>
        <w:spacing w:after="0" w:line="240" w:lineRule="auto"/>
      </w:pPr>
      <w:r>
        <w:continuationSeparator/>
      </w:r>
    </w:p>
  </w:footnote>
  <w:footnote w:id="1">
    <w:p w:rsidR="00F268B4" w:rsidRDefault="00F268B4">
      <w:pPr>
        <w:pStyle w:val="a1"/>
        <w:rPr>
          <w:rFonts w:hint="cs"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اسراء / آیه 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268B4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D458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BB3BE8">
      <w:rPr>
        <w:rFonts w:ascii="IranNastaliq" w:hAnsi="IranNastaliq" w:cs="IranNastaliq" w:hint="cs"/>
        <w:sz w:val="40"/>
        <w:szCs w:val="40"/>
        <w:rtl/>
        <w:lang w:bidi="fa-IR"/>
      </w:rPr>
      <w:t>7</w:t>
    </w:r>
    <w:r w:rsidR="00F268B4">
      <w:rPr>
        <w:rFonts w:ascii="IranNastaliq" w:hAnsi="IranNastaliq" w:cs="IranNastaliq" w:hint="cs"/>
        <w:sz w:val="40"/>
        <w:szCs w:val="40"/>
        <w:rtl/>
        <w:lang w:bidi="fa-IR"/>
      </w:rPr>
      <w:t>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5704C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500F"/>
    <w:rsid w:val="00156CF3"/>
    <w:rsid w:val="00166DD8"/>
    <w:rsid w:val="001712D6"/>
    <w:rsid w:val="001757C8"/>
    <w:rsid w:val="00176CB2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6650A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3820"/>
    <w:rsid w:val="0044591E"/>
    <w:rsid w:val="004651D2"/>
    <w:rsid w:val="00465D26"/>
    <w:rsid w:val="004679F8"/>
    <w:rsid w:val="004B31F7"/>
    <w:rsid w:val="004B337F"/>
    <w:rsid w:val="004C367A"/>
    <w:rsid w:val="004E7830"/>
    <w:rsid w:val="004F0730"/>
    <w:rsid w:val="004F3596"/>
    <w:rsid w:val="00501BA1"/>
    <w:rsid w:val="00572680"/>
    <w:rsid w:val="00572E2D"/>
    <w:rsid w:val="00592103"/>
    <w:rsid w:val="005A545E"/>
    <w:rsid w:val="005A5862"/>
    <w:rsid w:val="005B0852"/>
    <w:rsid w:val="005C06AE"/>
    <w:rsid w:val="00610C18"/>
    <w:rsid w:val="006126A7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77CD5"/>
    <w:rsid w:val="00883733"/>
    <w:rsid w:val="008965D2"/>
    <w:rsid w:val="008A236D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A7CD2"/>
    <w:rsid w:val="009B61C3"/>
    <w:rsid w:val="009C7B4F"/>
    <w:rsid w:val="009E4228"/>
    <w:rsid w:val="009E577C"/>
    <w:rsid w:val="009E588F"/>
    <w:rsid w:val="009F1B94"/>
    <w:rsid w:val="009F4EB3"/>
    <w:rsid w:val="00A04E98"/>
    <w:rsid w:val="00A06D48"/>
    <w:rsid w:val="00A1445D"/>
    <w:rsid w:val="00A21834"/>
    <w:rsid w:val="00A31C17"/>
    <w:rsid w:val="00A31FDE"/>
    <w:rsid w:val="00A35AC2"/>
    <w:rsid w:val="00A37C77"/>
    <w:rsid w:val="00A51830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4899"/>
    <w:rsid w:val="00B06BB8"/>
    <w:rsid w:val="00B15027"/>
    <w:rsid w:val="00B21CF4"/>
    <w:rsid w:val="00B22DF1"/>
    <w:rsid w:val="00B24300"/>
    <w:rsid w:val="00B31426"/>
    <w:rsid w:val="00B63F15"/>
    <w:rsid w:val="00B67C08"/>
    <w:rsid w:val="00B7512E"/>
    <w:rsid w:val="00B85A27"/>
    <w:rsid w:val="00BB3BE8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E7A08"/>
    <w:rsid w:val="00CF42E2"/>
    <w:rsid w:val="00CF7916"/>
    <w:rsid w:val="00D158F3"/>
    <w:rsid w:val="00D3665C"/>
    <w:rsid w:val="00D508CC"/>
    <w:rsid w:val="00D50F4B"/>
    <w:rsid w:val="00D570AD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30A6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268B4"/>
    <w:rsid w:val="00F40284"/>
    <w:rsid w:val="00F67976"/>
    <w:rsid w:val="00F70BE1"/>
    <w:rsid w:val="00F74740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8B83BF6-309D-431F-AB2E-2B4F49F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77CD5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77CD5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F2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64D8-0F78-422F-83C9-64EDBC24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1084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63</cp:revision>
  <dcterms:created xsi:type="dcterms:W3CDTF">2014-11-18T06:47:00Z</dcterms:created>
  <dcterms:modified xsi:type="dcterms:W3CDTF">2015-09-30T06:27:00Z</dcterms:modified>
</cp:coreProperties>
</file>