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A4" w:rsidRPr="00A0410E" w:rsidRDefault="008077A4" w:rsidP="0030257B">
      <w:pPr>
        <w:pStyle w:val="Heading1"/>
        <w:rPr>
          <w:sz w:val="40"/>
          <w:szCs w:val="40"/>
        </w:rPr>
      </w:pPr>
      <w:r w:rsidRPr="00A0410E">
        <w:rPr>
          <w:sz w:val="40"/>
          <w:szCs w:val="40"/>
          <w:rtl/>
        </w:rPr>
        <w:t>خطبه اول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bCs/>
          <w:sz w:val="32"/>
          <w:szCs w:val="32"/>
        </w:rPr>
      </w:pPr>
      <w:r w:rsidRPr="00F5354E">
        <w:rPr>
          <w:rFonts w:ascii="IRBadr" w:hAnsi="IRBadr" w:cs="IRBadr"/>
          <w:bCs/>
          <w:sz w:val="32"/>
          <w:szCs w:val="32"/>
          <w:rtl/>
        </w:rPr>
        <w:t>بسم‌اللّه الر</w:t>
      </w:r>
      <w:bookmarkStart w:id="0" w:name="_GoBack"/>
      <w:bookmarkEnd w:id="0"/>
      <w:r w:rsidRPr="00F5354E">
        <w:rPr>
          <w:rFonts w:ascii="IRBadr" w:hAnsi="IRBadr" w:cs="IRBadr"/>
          <w:bCs/>
          <w:sz w:val="32"/>
          <w:szCs w:val="32"/>
          <w:rtl/>
        </w:rPr>
        <w:t>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أَبِی الْقَاسِمِ المصطفی مُحَمَّدٍ وَ عَلی آله الأطیَّبینَ الأطهَرین لاسیُّما بقیة اللّه فی الارضین.</w:t>
      </w:r>
    </w:p>
    <w:p w:rsidR="008077A4" w:rsidRPr="00A0410E" w:rsidRDefault="008077A4" w:rsidP="0030257B">
      <w:pPr>
        <w:pStyle w:val="Heading2"/>
        <w:spacing w:line="276" w:lineRule="auto"/>
        <w:rPr>
          <w:rFonts w:ascii="IRBadr" w:hAnsi="IRBadr" w:cs="IRBadr"/>
          <w:sz w:val="38"/>
          <w:szCs w:val="38"/>
          <w:rtl/>
        </w:rPr>
      </w:pPr>
      <w:r w:rsidRPr="00A0410E">
        <w:rPr>
          <w:rFonts w:ascii="IRBadr" w:hAnsi="IRBadr" w:cs="IRBadr"/>
          <w:sz w:val="38"/>
          <w:szCs w:val="38"/>
          <w:rtl/>
        </w:rPr>
        <w:t>توصیه به تقوا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F5354E">
        <w:rPr>
          <w:rFonts w:ascii="IRBadr" w:hAnsi="IRBadr" w:cs="IRBadr"/>
          <w:sz w:val="32"/>
          <w:szCs w:val="32"/>
          <w:rtl/>
        </w:rPr>
        <w:t xml:space="preserve">أعوذ بالله من الشیطان الرجیم بسم الله الرحمن الرحیم </w:t>
      </w:r>
      <w:r w:rsidRPr="00F5354E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F5354E">
        <w:rPr>
          <w:rStyle w:val="FootnoteReference"/>
          <w:rFonts w:ascii="IRBadr" w:hAnsi="IRBadr" w:cs="IRBadr"/>
          <w:bCs/>
          <w:sz w:val="32"/>
          <w:szCs w:val="32"/>
          <w:rtl/>
        </w:rPr>
        <w:footnoteReference w:id="1"/>
      </w:r>
      <w:r w:rsidRPr="00F5354E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F5354E">
        <w:rPr>
          <w:rFonts w:ascii="IRBadr" w:hAnsi="IRBadr" w:cs="IRBadr"/>
          <w:b/>
          <w:bCs/>
          <w:sz w:val="32"/>
          <w:szCs w:val="32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 وَ تَزَوَدوا فَإِنَّ خَیرَ الزاد التقوی.</w:t>
      </w:r>
      <w:r w:rsidRPr="00F5354E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2"/>
      </w:r>
    </w:p>
    <w:p w:rsidR="008077A4" w:rsidRPr="0030257B" w:rsidRDefault="00A91FE8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30257B">
        <w:rPr>
          <w:rFonts w:ascii="IRBadr" w:hAnsi="IRBadr" w:cs="IRBadr"/>
          <w:b/>
          <w:bCs/>
          <w:color w:val="auto"/>
          <w:sz w:val="32"/>
          <w:szCs w:val="32"/>
          <w:rtl/>
        </w:rPr>
        <w:t>قال الله تبارک و تعالی: «</w:t>
      </w:r>
      <w:r w:rsidRPr="00A0410E">
        <w:rPr>
          <w:rStyle w:val="Heading1Char"/>
          <w:b/>
          <w:bCs w:val="0"/>
          <w:color w:val="auto"/>
          <w:sz w:val="40"/>
          <w:szCs w:val="40"/>
        </w:rPr>
        <w:t xml:space="preserve"> </w:t>
      </w:r>
      <w:hyperlink r:id="rId7" w:history="1">
        <w:r w:rsidRPr="0030257B">
          <w:rPr>
            <w:rStyle w:val="Hyperlink"/>
            <w:rFonts w:ascii="IRBadr" w:hAnsi="IRBadr" w:cs="IRBadr"/>
            <w:b/>
            <w:bCs/>
            <w:color w:val="auto"/>
            <w:sz w:val="32"/>
            <w:szCs w:val="32"/>
            <w:u w:val="none"/>
            <w:rtl/>
          </w:rPr>
          <w:t xml:space="preserve">لَنْ تَنالُوا الْبِرَّ حَتَّي تُنْفِقُوا مِمَّا تُحِبُّونَ </w:t>
        </w:r>
      </w:hyperlink>
      <w:r w:rsidRPr="0030257B">
        <w:rPr>
          <w:rStyle w:val="s"/>
          <w:rFonts w:ascii="IRBadr" w:hAnsi="IRBadr" w:cs="IRBadr"/>
          <w:b/>
          <w:bCs/>
          <w:color w:val="auto"/>
          <w:sz w:val="32"/>
          <w:szCs w:val="32"/>
          <w:rtl/>
        </w:rPr>
        <w:t>»</w:t>
      </w:r>
      <w:r w:rsidRPr="0030257B">
        <w:rPr>
          <w:rStyle w:val="FootnoteReference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همه شما نمازگزاران گرامی و خودم را پس از ماه مبارک رمضان و ماه تقوا و گذر از فرصتهای بزرگ عبادی  و عید فطر، به تقوا و پارسایی و صیانت از تقوای رمضانی و حفظ مواثیق و عهود الهی سفارش و دعوت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کنم. از خدای متعال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خواهیم که همه ما را در ادامه و استمرار بخشیدن به فلسفه ماه مبارک رمضان توفیق روزافزون کرامت 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t>بفرمای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30257B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043E1E" w:rsidRPr="00A0410E" w:rsidRDefault="00F32FA6" w:rsidP="0030257B">
      <w:pPr>
        <w:pStyle w:val="Heading2"/>
        <w:spacing w:line="276" w:lineRule="auto"/>
        <w:rPr>
          <w:rFonts w:ascii="IRBadr" w:eastAsiaTheme="minorHAnsi" w:hAnsi="IRBadr" w:cs="IRBadr"/>
          <w:sz w:val="38"/>
          <w:szCs w:val="38"/>
          <w:rtl/>
        </w:rPr>
      </w:pPr>
      <w:r w:rsidRPr="00A0410E">
        <w:rPr>
          <w:rFonts w:ascii="IRBadr" w:eastAsiaTheme="minorHAnsi" w:hAnsi="IRBadr" w:cs="IRBadr"/>
          <w:sz w:val="38"/>
          <w:szCs w:val="38"/>
          <w:rtl/>
        </w:rPr>
        <w:t xml:space="preserve">یادآوری و ادامه </w:t>
      </w:r>
      <w:r w:rsidR="00043E1E" w:rsidRPr="00A0410E">
        <w:rPr>
          <w:rFonts w:ascii="IRBadr" w:eastAsiaTheme="minorHAnsi" w:hAnsi="IRBadr" w:cs="IRBadr"/>
          <w:sz w:val="38"/>
          <w:szCs w:val="38"/>
          <w:rtl/>
        </w:rPr>
        <w:t>اصل سیزدهم: ایثار و ازخودگذشتگی در روابط خانوادگی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بحث ما در رابطه با خانواده اسلامی و در سبک اسلامی روابط خانوادگی بود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سیزدهمین اصل در روابط همسران و ارتباطات درون خانه عبارت از ایثار و فداکاری و از خود گذشتگی بود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بدون تردید ایثار و فداکاری در روابط اجتماعی و خانوادگی یکی از اصول مهم در سبک زندگی اسلامی است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قرار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اعضا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خانواده و مردم بر گذشت و ایثار باشد 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t>حتم</w:t>
      </w:r>
      <w:r w:rsidR="0030257B">
        <w:rPr>
          <w:rFonts w:ascii="IRBadr" w:eastAsiaTheme="minorHAnsi" w:hAnsi="IRBadr" w:cs="IRBadr" w:hint="cs"/>
          <w:color w:val="auto"/>
          <w:sz w:val="32"/>
          <w:szCs w:val="32"/>
          <w:rtl/>
        </w:rPr>
        <w:t>اً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خانواده سرشار از مهر و محبت و روابط سالم خواهد شد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هرگز نباید این اصل را در روابط خانوادگی و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اج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تماعی دست کم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گرفت.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خصوص این اصل مباحثی وجود دارد که به بخشی از آنها در خطبه سابق اشاره شد و امروز فصلهای دیگری از این بحث را پی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گیریم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043E1E" w:rsidRPr="00A0410E" w:rsidRDefault="00043E1E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t>یکم: مفهوم ایثار و فداکاری</w:t>
      </w:r>
    </w:p>
    <w:p w:rsidR="008077A4" w:rsidRPr="00F5354E" w:rsidRDefault="00043E1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خطبه گذشته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مفهوم ایثار و فداکاری را تبیین کردیم: ایثار مقدم داشتن و ترجیح و برتری دادن مصالح عمومی و مصالح حقیقی دیگران و مقدم داشتن آن بر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منافع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 و زود گذر خویش است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43E1E" w:rsidRPr="00A0410E" w:rsidRDefault="00043E1E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t>دوم: ارکان ایثار</w:t>
      </w:r>
    </w:p>
    <w:p w:rsidR="00043E1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اشاره کردیم که ایثار دارای ارکانی است بدون اینکه بخواهیم در اینجا به ابعاد پیچیده بحث اشاره ای کنیم عرض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کنم که ایثار حداقل پیج عنصر و رکن دارد:</w:t>
      </w:r>
    </w:p>
    <w:p w:rsidR="00043E1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1. ایثار کننده و </w:t>
      </w:r>
      <w:r w:rsidR="0030257B" w:rsidRPr="000B4192">
        <w:rPr>
          <w:rFonts w:ascii="IRBadr" w:eastAsiaTheme="minorHAnsi" w:hAnsi="IRBadr" w:cs="IRBadr"/>
          <w:color w:val="auto"/>
          <w:sz w:val="32"/>
          <w:szCs w:val="32"/>
          <w:rtl/>
        </w:rPr>
        <w:t>مؤثِر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043E1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2. </w:t>
      </w:r>
      <w:r w:rsidR="0030257B" w:rsidRPr="000B4192">
        <w:rPr>
          <w:rFonts w:ascii="IRBadr" w:eastAsiaTheme="minorHAnsi" w:hAnsi="IRBadr" w:cs="IRBadr"/>
          <w:color w:val="auto"/>
          <w:sz w:val="32"/>
          <w:szCs w:val="32"/>
          <w:rtl/>
        </w:rPr>
        <w:t>مؤثَر</w:t>
      </w:r>
      <w:r w:rsidR="0030257B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علیه که غالبا خود شخص و گاهی خویشان و نزدیکان او هستند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043E1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3. </w:t>
      </w:r>
      <w:r w:rsidR="0030257B" w:rsidRPr="000B4192">
        <w:rPr>
          <w:rFonts w:ascii="IRBadr" w:eastAsiaTheme="minorHAnsi" w:hAnsi="IRBadr" w:cs="IRBadr"/>
          <w:color w:val="auto"/>
          <w:sz w:val="32"/>
          <w:szCs w:val="32"/>
          <w:rtl/>
        </w:rPr>
        <w:t>مؤثَر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ایثار شونده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که مورد عنایت قرار می گیرد که گاهی فرد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جامعه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ولی خدا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گاهی اسلام و مصالح عالیه جامعه است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043E1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4. </w:t>
      </w:r>
      <w:r w:rsidR="0030257B" w:rsidRPr="000B4192">
        <w:rPr>
          <w:rFonts w:ascii="IRBadr" w:eastAsiaTheme="minorHAnsi" w:hAnsi="IRBadr" w:cs="IRBadr"/>
          <w:color w:val="auto"/>
          <w:sz w:val="32"/>
          <w:szCs w:val="32"/>
          <w:rtl/>
        </w:rPr>
        <w:t>مؤثَر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آنچه که انسان آن را تقدیم دیگران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کند از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مال و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آبر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جان که قله ایثار و فداکاری است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</w:t>
      </w:r>
      <w:r w:rsidR="0030257B" w:rsidRPr="000B4192">
        <w:rPr>
          <w:rFonts w:ascii="IRBadr" w:eastAsiaTheme="minorHAnsi" w:hAnsi="IRBadr" w:cs="IRBadr"/>
          <w:color w:val="auto"/>
          <w:sz w:val="32"/>
          <w:szCs w:val="32"/>
          <w:rtl/>
        </w:rPr>
        <w:t>مؤثَر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له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انگیزه ای که کسی بخاطر آن ایثار می</w:t>
      </w:r>
      <w:r w:rsidR="0030257B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جامعه، مصالح عمومی، ارزشهای الهی و برای دیگر اعضای خانواده 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>از خود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گذرد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گاهی یک امر دنیایی است که دنبال اغراض دنیایی هستند که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چنین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ایثار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ارزشمند نیست و گاهی غرض از ایثار و فداکاری کسب رضوان خدا و نیل به درجات عالیه معنوی است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پنج 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نصر و رکن ایثار است 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>که گاهی با هم انطباق هم پیدا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="00043E1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43E1E" w:rsidRPr="00A0410E" w:rsidRDefault="00043E1E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lastRenderedPageBreak/>
        <w:t>وحدت و تعدد ارکان ایثار</w:t>
      </w:r>
    </w:p>
    <w:p w:rsidR="0053346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نکته ای که باید به آن توجه کرد این است که گرچه تصور ما این است که ایثار شونده و ایثار کننده جدا هستند اما در واقع وقتی ما و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>شما از چیزی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  <w:t>گذریم و فداکاری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کنیم در واقع فداکاری ما برای خود ماست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همان تعبیری که شهید مطهری دارند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آییم از یک امر پست و نازل و نیاز دنیایی می گذریم برای رسیدن به قله بلندتر که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هم به خود ما نائل و عاید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بنابراین ایثار 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از امور پست و ناچیز و علاقه های پایین و سطحی خویش برای شکوفایی آن ابعاد معنوی و روحی خودمان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گذریم.</w:t>
      </w:r>
    </w:p>
    <w:p w:rsidR="0053346E" w:rsidRPr="00A0410E" w:rsidRDefault="00F32FA6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t xml:space="preserve">سوم: </w:t>
      </w:r>
      <w:r w:rsidR="0053346E" w:rsidRPr="00A0410E">
        <w:rPr>
          <w:rFonts w:ascii="IRBadr" w:eastAsiaTheme="minorHAnsi" w:hAnsi="IRBadr" w:cs="IRBadr"/>
          <w:sz w:val="36"/>
          <w:szCs w:val="36"/>
          <w:rtl/>
        </w:rPr>
        <w:t>تقسیمات ایثار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ایثار براساس آن پنچ رکنی که گفتیم تقسیماتی دارد که برخی را اشاره کردم ایثار گاهی در مال و گاهی در آبرو و گاهی از جان است برای منافع جامعه و ارزشهای متعالی اسلام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3346E" w:rsidRPr="00F5354E" w:rsidRDefault="001E2F65" w:rsidP="001E2F6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هر چقدر  آن چیزی که ایثار می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شود نفیس تر باشد ایثار شما ارزش بالاتری دارد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چقدر آن کسی که برای او ایثار می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کنید 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والا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تر باشد ایثار شما ارزشمندتر است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منافع مادی فرد و گاهی برای منافع عمومی مردم و گاهی برای اولیای الهی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ایثار می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یقینا ارزش این ها با هم یکسان نیست.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اصحاب بزرگ عاشورا و نام آوران دشت کربلا ایثاری کردند که عظمت آن در عالم کم نظیر است چرا که هر چه داشتند برای ولی خدا تقدیم کردند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از سوی دیگر هر چقدر اخلاص ما در ایثار و فداکاری بیشتر باشد ارزش آن بالاتر است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ایثار اگر فرهنگ عمومی جامعه شد جامع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>سرشار از شادابی و فضای سالم می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خورشید ایثار در فضای خانواده پرتوافکن شد آن وقت فضای خانواده آرمانی و آسمانی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 شود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>. خانه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softHyphen/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 ک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اعضای آن دنبال منافع خویش نیستند بلکه دیگران را بر خود مقدم می دارند آن خانه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 خانه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3346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ایمانی و انسانی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می شود.</w:t>
      </w:r>
    </w:p>
    <w:p w:rsidR="008077A4" w:rsidRPr="00F5354E" w:rsidRDefault="008077A4" w:rsidP="001E2F6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تاکید روایت به این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1E2F6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1E2F65" w:rsidRPr="001E2F65">
        <w:rPr>
          <w:rStyle w:val="arabic"/>
          <w:rFonts w:ascii="IRBadr" w:hAnsi="IRBadr" w:cs="IRBadr"/>
          <w:sz w:val="32"/>
          <w:szCs w:val="32"/>
          <w:rtl/>
        </w:rPr>
        <w:t>«المُؤْمِنُ يَأْكُلُ بشَهْوَةِ أهْلِهِ و المُنَافِقُ يَأْكُلُ أهْلُهُ بِشَهْوَتِه</w:t>
      </w:r>
      <w:r w:rsidR="001E2F65">
        <w:rPr>
          <w:rStyle w:val="arabic"/>
          <w:rFonts w:ascii="IRBadr" w:hAnsi="IRBadr" w:cs="IRBadr" w:hint="cs"/>
          <w:sz w:val="32"/>
          <w:szCs w:val="32"/>
          <w:rtl/>
        </w:rPr>
        <w:t>»</w:t>
      </w:r>
      <w:r w:rsidR="001E2F65">
        <w:rPr>
          <w:rStyle w:val="FootnoteReference"/>
          <w:rFonts w:ascii="IRBadr" w:hAnsi="IRBadr" w:cs="IRBadr"/>
          <w:sz w:val="32"/>
          <w:szCs w:val="32"/>
          <w:rtl/>
        </w:rPr>
        <w:footnoteReference w:id="4"/>
      </w:r>
      <w:r w:rsidR="001E2F65" w:rsidRPr="001E2F65">
        <w:rPr>
          <w:rStyle w:val="arabic"/>
          <w:rFonts w:ascii="IRBadr" w:hAnsi="IRBadr" w:cs="IRBadr"/>
          <w:sz w:val="32"/>
          <w:szCs w:val="32"/>
          <w:rtl/>
        </w:rPr>
        <w:t>ِ</w:t>
      </w:r>
      <w:r w:rsidR="001E2F65">
        <w:rPr>
          <w:rStyle w:val="arabic"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به خانه می روی منتظر این نباش که همه امور خانه بر طبق مذاق تو باشد بلکه تو به همراه خانه حرکت کن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 میل خود پا گذار و براساس اشتهای اهل  بیت و فرزندان خود غذا بخور این یک نمونه است و نمونه های فراوانی از این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آموزه ها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32FA6" w:rsidRPr="00F5354E" w:rsidRDefault="00F32FA6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ارزش و تعالی انسانها در گرو قدرت تصمیم گیری آن ها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ارزش و تعالی انسانها به این است که قدرت تصمیم گیری داشته باشند  وقتی که تزاحم بین منافع فردی یا منافع دیگران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یا انقلاب پیدا شد قدرت این را داشته باشند که منافع شخصی خود را زیر پا بگذارند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 در این صورت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افراد ارزشمند هستند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مسئولینی که برای جامعه از خود بگذرند مسئولینی در تراز انقلاب اسلامی هستند و زن و شوهری که برای تربیت فرزندان سالم و نسل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نده و سلامت خانواده از خود می گذرند اینان زنان و مردان شایسته و در تراز خانواده اسلامی هستند.</w:t>
      </w:r>
    </w:p>
    <w:p w:rsidR="00F32FA6" w:rsidRPr="00A0410E" w:rsidRDefault="00F32FA6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t>چهارم: آثار و نتائج و برکات ایثار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دیگر در رابطه با ایثار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بیان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آثار و برکاتی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که سابقا بیان شد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F32FA6" w:rsidRPr="00A0410E" w:rsidRDefault="00F32FA6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1. شکوفایی و نشاط روحی و شخصیتی</w:t>
      </w:r>
    </w:p>
    <w:p w:rsidR="00A91FE8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اولین نتیجه تعالی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شکوفایی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نشاط روحی و شخصیتی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فرد ایثار گر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آدمهایی که فقط بر مصالح خودشان پای می فشارند و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ماده قربانی کردن خویش نیستند و دیگران را پایین تر از خود می دانند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اینان افراد کوچکی هستند ولو اینکه خود را بزرگ 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بپندارند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دارای عجب و غرور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باشند.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آدم بزرگ کسی است که روح آن با روی گشاده</w:t>
      </w:r>
      <w:r w:rsidR="00F32FA6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دل دریایی از منافع خود می گذرد تا همسرش در آرامش باشد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او خانه ایمانی باشد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اینکه جامعه به 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ف برسد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تعالی روح و شکوفایی شخصیتی دستاورد ایثار و فداکاری است که به خود ما برمی گردد که حدود ده تعبیر بلن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در روایات آمده بود که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8077A4" w:rsidRPr="00F5354E" w:rsidRDefault="00A91FE8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Pr="00F5354E">
        <w:rPr>
          <w:rFonts w:ascii="IRBadr" w:hAnsi="IRBadr" w:cs="IRBadr"/>
          <w:sz w:val="32"/>
          <w:szCs w:val="32"/>
          <w:rtl/>
        </w:rPr>
        <w:t>الإيثار أعلى الإحسان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»، «</w:t>
      </w:r>
      <w:r w:rsidRPr="00F5354E">
        <w:rPr>
          <w:rFonts w:ascii="IRBadr" w:hAnsi="IRBadr" w:cs="IRBadr"/>
          <w:sz w:val="32"/>
          <w:szCs w:val="32"/>
          <w:rtl/>
        </w:rPr>
        <w:t xml:space="preserve"> الإيثار أشرف الكرم»،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r w:rsidRPr="00F5354E">
        <w:rPr>
          <w:rStyle w:val="st"/>
          <w:rFonts w:ascii="IRBadr" w:hAnsi="IRBadr" w:cs="IRBadr"/>
          <w:sz w:val="32"/>
          <w:szCs w:val="32"/>
          <w:rtl/>
        </w:rPr>
        <w:t xml:space="preserve">عند الایثار على النّفس تتبیّن </w:t>
      </w:r>
      <w:r w:rsidRPr="00F5354E">
        <w:rPr>
          <w:rStyle w:val="Emphasis"/>
          <w:rFonts w:ascii="IRBadr" w:hAnsi="IRBadr" w:cs="IRBadr"/>
          <w:sz w:val="32"/>
          <w:szCs w:val="32"/>
          <w:rtl/>
        </w:rPr>
        <w:t>جواهر</w:t>
      </w:r>
      <w:r w:rsidRPr="00F5354E">
        <w:rPr>
          <w:rStyle w:val="st"/>
          <w:rFonts w:ascii="IRBadr" w:hAnsi="IRBadr" w:cs="IRBadr"/>
          <w:sz w:val="32"/>
          <w:szCs w:val="32"/>
          <w:rtl/>
        </w:rPr>
        <w:t xml:space="preserve"> الكرماء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گوهر و فلز بزرگان در هنگام فداکاری ظاهر می شود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آدمی که در تزاحم منافع خود و همسر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یا اسلام و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انقلاب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منافع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خودش را قربانی می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کند قبل از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ینکه اثر آن عاید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خود او شکوفایی روحی پیدا می کند که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روایات، روانشناسی، دانش قدیم و جدید ا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نتیجه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می کند.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رهاورد ایثار بزرگی شخصیت است که خودتان می توانید آ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حس کنید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لحظه های حساس ایثار کنید بعد از این که از سختی گذشتید احساس تعالی و شکوفایی می کنید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91FE8" w:rsidRPr="00A0410E" w:rsidRDefault="00A91FE8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2. آثار اخروی و معنوی ایثار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روایات متعددی این جا و جود دارد که به بعضی از آنها شاره می کنم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EC2CF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انسان فداکار و ایثار گر همین که با مرگ مواجه شد دستاوردهای این اخلاق متعالی او رادستگیری می کند در قیامت 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عرصه های مختلف تا او را به بهشت و رضوان الهی نائل می کند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سوره دهر را ملاحظه کنید آنجا که تابلوی زیبایی از ایثار خانه علی </w:t>
      </w:r>
      <w:r w:rsidR="00A91FE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فاطمه سلام الله علیهما که تصویر شده است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ایثار خالصانه و مخلصانه</w:t>
      </w:r>
      <w:r w:rsidR="00EC2CFE" w:rsidRPr="00F5354E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چیزی جز خدا را نخواستند و 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غذای شب خود را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به یتیم و اسیر و مسکین دادند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گرسنه خوابیدند و دیگران را سیر کردند. این خانه ایثارگر مورد توجه عنایات الهی قرار گرفت و بیش از ده مژ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برای ایثارگران در سوره دهر تصویر شده 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 همه کسانی که در جامعه و خانه ایثار می کنید تابلوی تشویق شما سوره دهر و انسان است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الگوی شما خاندان پاک پیامبران است که در سوره دهر تبیین شده است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روایت آمده است که امیرالمومنین لباسی خریدند و خیلی از 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 لباس خوششان آمد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 سپس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لباس را به دیگری بخشیدند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 آنگاه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فرمودند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پیامبر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(صلی الله علیه و آله و سلم)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فرمود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که در این دنیا برای همسر و مصالح اجتماعی فداکاری کند خدا او را روز قیامت مقدم می دارد و گرفتاری های او را رفع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می فرماید و جایگاه بلندی در قیامت به او اعطا خواهد کرد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0410E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</w:p>
    <w:p w:rsidR="00EC2CF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اما غیر از این دو اثر روحی و شخصیتی و اثرهای روحی و دنیوی آثار دیگری هم برای ایثار است که به فضل خدا در خطبه های آینده عرض خواهم کرد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EC2CFE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همه این سخنان برای این است که ما از آبشخور وحی و منهل معارف الهی برای پیاده سازی سبک زندگی اسلامی در خانه و جامعه تلاش کنیم و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خدا در 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مدد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می جوییم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اموات و درگذشتگان ما را ببخش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به انجام تکالبف الهی موفق بدار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از همه آسیبهای روحی و اخلاقی مصون بدار</w:t>
      </w:r>
      <w:r w:rsidR="00EC2CFE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5354E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F5354E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7"/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:rsidR="008077A4" w:rsidRPr="00F5354E" w:rsidRDefault="008077A4" w:rsidP="0030257B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sz w:val="32"/>
          <w:szCs w:val="32"/>
        </w:rPr>
      </w:pPr>
      <w:r w:rsidRPr="00F5354E">
        <w:rPr>
          <w:rFonts w:ascii="IRBadr" w:hAnsi="IRBadr" w:cs="IRBadr"/>
          <w:sz w:val="32"/>
          <w:szCs w:val="32"/>
          <w:rtl/>
        </w:rPr>
        <w:br w:type="page"/>
      </w:r>
    </w:p>
    <w:p w:rsidR="008077A4" w:rsidRPr="00A0410E" w:rsidRDefault="008077A4" w:rsidP="0030257B">
      <w:pPr>
        <w:pStyle w:val="Heading1"/>
        <w:rPr>
          <w:sz w:val="40"/>
          <w:szCs w:val="40"/>
          <w:rtl/>
        </w:rPr>
      </w:pPr>
      <w:r w:rsidRPr="00A0410E">
        <w:rPr>
          <w:sz w:val="40"/>
          <w:szCs w:val="40"/>
          <w:rtl/>
        </w:rPr>
        <w:lastRenderedPageBreak/>
        <w:t>خطبه دوم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F5354E">
        <w:rPr>
          <w:rFonts w:ascii="IRBadr" w:hAnsi="IRBadr" w:cs="IRBadr"/>
          <w:bCs/>
          <w:sz w:val="32"/>
          <w:szCs w:val="32"/>
          <w:rtl/>
        </w:rPr>
        <w:t xml:space="preserve">بسم‌اللّه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</w:t>
      </w:r>
      <w:r w:rsidRPr="00F5354E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F5354E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</w:t>
      </w:r>
    </w:p>
    <w:p w:rsidR="008077A4" w:rsidRPr="00A0410E" w:rsidRDefault="008077A4" w:rsidP="0030257B">
      <w:pPr>
        <w:pStyle w:val="Heading2"/>
        <w:spacing w:line="276" w:lineRule="auto"/>
        <w:rPr>
          <w:rFonts w:ascii="IRBadr" w:hAnsi="IRBadr" w:cs="IRBadr"/>
          <w:sz w:val="38"/>
          <w:szCs w:val="38"/>
        </w:rPr>
      </w:pPr>
      <w:r w:rsidRPr="00A0410E">
        <w:rPr>
          <w:rFonts w:ascii="IRBadr" w:hAnsi="IRBadr" w:cs="IRBadr"/>
          <w:sz w:val="38"/>
          <w:szCs w:val="38"/>
          <w:rtl/>
        </w:rPr>
        <w:t>توصیه به تقوا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bCs/>
          <w:sz w:val="32"/>
          <w:szCs w:val="32"/>
          <w:rtl/>
        </w:rPr>
      </w:pPr>
      <w:r w:rsidRPr="00F5354E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الرجیم. بسم اللّه الرحمن الرحیم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F5354E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آمَنُواْ اتَّقُواْ اللّهَ وَکونُواْ مَعَ الصَّادِقِینَ»</w:t>
      </w:r>
      <w:r w:rsidRPr="00F5354E">
        <w:rPr>
          <w:rStyle w:val="FootnoteReference"/>
          <w:rFonts w:ascii="IRBadr" w:hAnsi="IRBadr" w:cs="IRBadr"/>
          <w:b/>
          <w:bCs/>
          <w:sz w:val="32"/>
          <w:szCs w:val="32"/>
          <w:rtl/>
        </w:rPr>
        <w:footnoteReference w:id="8"/>
      </w:r>
      <w:r w:rsidRPr="00F5354E">
        <w:rPr>
          <w:rFonts w:ascii="IRBadr" w:hAnsi="IRBadr" w:cs="IRBadr"/>
          <w:b/>
          <w:bCs/>
          <w:sz w:val="32"/>
          <w:szCs w:val="32"/>
          <w:rtl/>
        </w:rPr>
        <w:t xml:space="preserve"> عِبادَالله اُوصیَکُم وَ نَفسیِ بِتَقوَی الله وَ مُلازِمَة اَمرِه وَ مُجانِبَة نَهیِه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همه شما را به  پارسایی و تقوا و ادامه خط رمضانی توصیه می کنم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امیر مومنان در خطبه 82 فرمودند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 پیشه کنید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چشمه و آبشخوری تیره و کدر است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 فرینده و باطنی کشنده دارد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فر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یب دنیای زودگذر را نخورید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فریب دهنده است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داستان دنیایی که ما به آن دل بسته ایم داستان حیوانی است که راکب را بر خود نشانده است تا ر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کب احساس می کند که مرکب آرام و راهوار است ناگهان لجام پاره می کند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 سوار خود را به زمین می افکند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قصه دنیاست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در آرامش ها هم طوفانی است چه رسد به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طوفانهای دنیا. این جملات و فرازهای خطبه 82 چهره 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 را از دنیا نشان می دهد تا دل به دنیا نبندیم حتی آن گاه که بر مرکب رام دنیا سواریم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مرکب رام دنیا هم دل نبندیم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مرکب آرام نشان می دهد اما به شدت سرکش است این 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رامش قبل از طوفان است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مرکب با حرکتی شما را به زمین می زند 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طومار زندگی شما را در هم می پیچد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ویروس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تومور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خطر می آید همه زندگی شما را تباه کرده و تمام می کند به این دنیا دل نبندید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پول دنیا به مقام دنیا و هر آنچه خدا به 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داده است نگاه ما نگاه نعمتی باشد که شکر می خواهد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 اما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دلبستگی به دنیا ما را زمین خواهد زد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423D93" w:rsidRPr="00F5354E">
        <w:rPr>
          <w:rStyle w:val="FootnoteReference"/>
          <w:rFonts w:ascii="IRBadr" w:eastAsiaTheme="minorHAnsi" w:hAnsi="IRBadr" w:cs="IRBadr"/>
          <w:color w:val="auto"/>
          <w:sz w:val="32"/>
          <w:szCs w:val="32"/>
          <w:rtl/>
        </w:rPr>
        <w:footnoteReference w:id="9"/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خدایا به ما توفیق شنیدن این پیامهای نورانی و دل دادن به این انوار آسمانی عنایت بفرما و ما را دلبسته دنیای زودگذر قرار نده</w:t>
      </w:r>
      <w:r w:rsidR="00423D93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23D93" w:rsidRPr="00A0410E" w:rsidRDefault="00423D93" w:rsidP="0030257B">
      <w:pPr>
        <w:pStyle w:val="Heading2"/>
        <w:spacing w:line="276" w:lineRule="auto"/>
        <w:rPr>
          <w:rFonts w:ascii="IRBadr" w:eastAsiaTheme="minorHAnsi" w:hAnsi="IRBadr" w:cs="IRBadr"/>
          <w:sz w:val="38"/>
          <w:szCs w:val="38"/>
          <w:rtl/>
        </w:rPr>
      </w:pPr>
      <w:r w:rsidRPr="00A0410E">
        <w:rPr>
          <w:rFonts w:ascii="IRBadr" w:eastAsiaTheme="minorHAnsi" w:hAnsi="IRBadr" w:cs="IRBadr"/>
          <w:sz w:val="38"/>
          <w:szCs w:val="38"/>
          <w:rtl/>
        </w:rPr>
        <w:t>مناسبت‌ها:</w:t>
      </w:r>
    </w:p>
    <w:p w:rsidR="00423D93" w:rsidRPr="00F5354E" w:rsidRDefault="00423D93" w:rsidP="0030257B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F5354E">
        <w:rPr>
          <w:rFonts w:ascii="IRBadr" w:hAnsi="IRBadr" w:cs="IRBadr"/>
          <w:sz w:val="32"/>
          <w:szCs w:val="32"/>
          <w:rtl/>
        </w:rPr>
        <w:t>مناسبت‌های این ایام را به‌اختصار عرض می‌کنیم:</w:t>
      </w:r>
    </w:p>
    <w:p w:rsidR="00423D93" w:rsidRPr="00A0410E" w:rsidRDefault="00423D93" w:rsidP="00A0410E">
      <w:pPr>
        <w:pStyle w:val="Heading3"/>
        <w:numPr>
          <w:ilvl w:val="0"/>
          <w:numId w:val="32"/>
        </w:numPr>
        <w:rPr>
          <w:rFonts w:ascii="IRBadr" w:eastAsia="Calibri" w:hAnsi="IRBadr" w:cs="IRBadr"/>
          <w:sz w:val="36"/>
          <w:szCs w:val="36"/>
          <w:rtl/>
        </w:rPr>
      </w:pPr>
      <w:r w:rsidRPr="00A0410E">
        <w:rPr>
          <w:rFonts w:ascii="IRBadr" w:hAnsi="IRBadr" w:cs="IRBadr"/>
          <w:sz w:val="36"/>
          <w:szCs w:val="36"/>
          <w:rtl/>
        </w:rPr>
        <w:t>قدردانی از مردم بخاطر حضور پررنگ و حماسی خود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در آغاز باید تشکر کرد از مردم عزیز و بزرگ بخاطر حضور باشکوه خودشان در نمازهای جماعت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نمازهای پرشکوه ماه رمضان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حماسه بسیار متعالی روز قدس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نمازهای روز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عید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فطر و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بخاطر حضور ملت قهرمان در همه عرصه های حساس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 را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سپ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باشیم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قدر این مردم بزرگ و شریف را بدانیم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مردمی که این همه افتخار می آفرینند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صحنه های حساس سیاسی آن همه نورافشانی می کنند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مردمی که در افطار و اطعام و رسیدگی به فقیران و محرومان آن همه توفیقات پیدا کرده اند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به همه شما و به همه جوانان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مردان و زنان دل باخته به آرمانهای والا توفیق روزافزون عنایت بفرماید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همه این گامهای بزرگ را در پیش خود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مأ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جور بدارد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186719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lastRenderedPageBreak/>
        <w:t>2. تاکید بر مسئله عفاف و حجاب</w:t>
      </w:r>
    </w:p>
    <w:p w:rsidR="00186719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بمناسبت واقعه دلخراش مسجد گوهرشاد که آن حماسه بزرگ در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حم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ایت از اسلام و حجاب در مشهد مقدس توسط مردم عزیز ما آفریده شد روزی به عنوان روز عفاف و حجاب نامیده شده است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برادران و خواهران و بویژه جوانان عزیز جوانانی که آن همه در دفاع از انقلاب و در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عرصه های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اسل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امی آن قدر حماسه آفریده اید بیایید ه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 پیشگام صیانت از ارزشهای عفاف و حجاب شوید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طوفانهای فساد از هر سو برای فرو ریختن پایه های عفاف و حجاب و سلامت خانه و خانواده در جریان است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مقاوم و استوار باشیم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ها و مدارس ما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دانشگاه های ما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کوچه و بازار ما باید در برابر امواج فساد ایستادگی کنند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چرا که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عفاف و حجاب شاخص یک جامعه اسلامی است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در سال 84 در شورای عالی انقلاب فرهنگی، قانون عفاف و حجاب تصویب شد و همه مردم و نهادها به تکالیفی فراخوانده شدند و به طور خاص 15 نهاد و وزارت خانه از صدا و سیما تا نهادهای فرهنگی تا نهادهای دولتی ماموریتهایی برای ارتقای عفاف و حجاب پیدا کردند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قدمهایی هم برداشته شده است اما کافی نیست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اماکن ما باید تجلی گاه ارزشهای الهی و عفاف و حجاب باشد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مساله  اقداماتی شده است شکرالله سعیکم اما کافی نیست چه باید کرد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؟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 نکته در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 مهم است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که به تعدادی از آنها اشاره می کنم:</w:t>
      </w:r>
    </w:p>
    <w:p w:rsidR="00186719" w:rsidRPr="00A0410E" w:rsidRDefault="00186719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1. تامین نیازهای جوانان و فراهم آوردن شرائط ازدواج آسان و بموقع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تامین نیاز نسل جوان برای اینکه از گناه مصون بماند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ضرورت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همه ما دردآور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میلیونها جوان نیازشان در موقع لازم تامین نمی شود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همه دولت و ملت باید تلاش کنند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تا پ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 های ازدواج آسان و بموقع ریخته شود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8077A4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2. تبیین صحیح و منطقی عفاف و حجاب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عفاف و حجاب یک فلسفه مترقی و مورد نیاز برای اصلاح جامعه دارد که باید تفهیم شود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با زبان منطق و استدلال این فلسفه را در همه مراکز خود تبیین کنیم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نسل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ج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وان ما آن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با پوست و گوشت خود درک کنند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8077A4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lastRenderedPageBreak/>
        <w:t xml:space="preserve">3. </w:t>
      </w:r>
      <w:r w:rsidR="00186719"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ترغیب و تشویق عفاف و حجاب در همه مراکز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ترغیب و تشویق به عفاف و حجاب  باید اصل باشد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معلم، مربی و استاد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خانه و مدرسه باید وظیفه خودشان بدانند که عفاف و حجاب را چه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 پسر و چه برای دختر 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بصورت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زیبا نشان دهند و از ابزار تشویق و ترغیب بیشترین استفاده را کنند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8077A4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4. اصلاح الگوها در تولید و عرضه لباس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الگوهای تولید لباس و عرضه محصولات پوششی باید با ارزشهای اسلام تطابق داشته باشد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افراد باید در خانه تامین شود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باید الگوی لباس عمومی باید تولید شود و جلوی تولید الگوهای مخرب گرفته شود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8077A4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5. امر به معروف و نهی از منکر همگانی در حد زبانی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مقابله با فساد وظیفه امر به معروف و نهی از منکر است که به شکل زبانی باید همه جا رواج پیدا کند</w:t>
      </w:r>
      <w:r w:rsidR="00186719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186719" w:rsidRPr="00A0410E" w:rsidRDefault="008077A4" w:rsidP="0030257B">
      <w:pPr>
        <w:pStyle w:val="Heading4"/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</w:pPr>
      <w:r w:rsidRPr="00A0410E">
        <w:rPr>
          <w:rFonts w:ascii="IRBadr" w:eastAsiaTheme="minorHAnsi" w:hAnsi="IRBadr" w:cs="IRBadr"/>
          <w:b w:val="0"/>
          <w:bCs w:val="0"/>
          <w:i w:val="0"/>
          <w:iCs w:val="0"/>
          <w:sz w:val="34"/>
          <w:szCs w:val="34"/>
          <w:rtl/>
        </w:rPr>
        <w:t>6. برخورد قانونی نهادهای مسئول در ادارات و نیروی انتظامی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برخورد قانونی با مواردی که از مرزهای قانون و اسلام عبور می کنند</w:t>
      </w:r>
      <w:r w:rsidR="00460A5B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برخورد قانونی هم وظیفه دستگاه هاست و باید طبق قانون و با کمال قاطعیت در برابر تخلف و فساد باید ایستادگی کنند</w:t>
      </w:r>
      <w:r w:rsidR="00460A5B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60A5B" w:rsidRPr="00A0410E" w:rsidRDefault="009957A8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t>3. اقتصاد مقاومتی (بایدها و نبایدها)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نکته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وم در مورد اقتصاد مقاومتی است که کشور ما نیاز دارد که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پایه های اقتصاد درون زا و باتولید درونی و شاخصه هایی که در سابق هم گفته شده است حرکت کند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مشکلات اقتصادی ما زیاد است و وجود مشکلات در مسیر تولید یک مساله است که امروزه با آن مواجه هستیم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دیگری هم افسار گسیختگی هایی است که در گوشه و کنار در قالب حقوق های نجومی متاسفانه وجود دارد که بسیار ضجر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ور است اقداماتی که شده جای تقدیر و تشکر است اما کافی نیست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برای حل اینها نظارت و مراقبت درست و پایه ریزی یک اقتصاد سالم ضرورت دارد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قاضای ما این است که ملت و دولت همراهی کنند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مان رهبری را اطاعت کنند و برای اقتصاد مقاومتی یک طرح جامع و کارشناسی شده لازم ا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 که امیدواریم به آن توجه شود.</w:t>
      </w:r>
    </w:p>
    <w:p w:rsidR="008077A4" w:rsidRPr="00A0410E" w:rsidRDefault="009957A8" w:rsidP="0030257B">
      <w:pPr>
        <w:pStyle w:val="Heading3"/>
        <w:rPr>
          <w:rFonts w:ascii="IRBadr" w:eastAsiaTheme="minorHAnsi" w:hAnsi="IRBadr" w:cs="IRBadr"/>
          <w:sz w:val="36"/>
          <w:szCs w:val="36"/>
          <w:rtl/>
        </w:rPr>
      </w:pPr>
      <w:r w:rsidRPr="00A0410E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4. </w:t>
      </w:r>
      <w:r w:rsidR="008077A4" w:rsidRPr="00A0410E">
        <w:rPr>
          <w:rFonts w:ascii="IRBadr" w:eastAsiaTheme="minorHAnsi" w:hAnsi="IRBadr" w:cs="IRBadr"/>
          <w:sz w:val="36"/>
          <w:szCs w:val="36"/>
          <w:rtl/>
        </w:rPr>
        <w:t xml:space="preserve">مسائل منطقه و جهان اسلام </w:t>
      </w:r>
      <w:r w:rsidRPr="00A0410E">
        <w:rPr>
          <w:rFonts w:ascii="IRBadr" w:eastAsiaTheme="minorHAnsi" w:hAnsi="IRBadr" w:cs="IRBadr"/>
          <w:sz w:val="36"/>
          <w:szCs w:val="36"/>
          <w:rtl/>
        </w:rPr>
        <w:t>و بین الملل</w:t>
      </w:r>
    </w:p>
    <w:p w:rsidR="008077A4" w:rsidRPr="00F5354E" w:rsidRDefault="009957A8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امروز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 با چند پدیده شوم در جهان اسلام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مواجه هستیم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9957A8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یک: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گسترش تروریزم تکفیر از طریق فریب جوانان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گسترش ترور و تروریزم و تکفیر که با نام دین آمده اند و عده ای را فریب داده اند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 باید همگان بدانند که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پشت صحنه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پدیده شوم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آمریکاییها و صهیونیست ها هستند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حوادثی این روزها رخ می دهد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 دل هر مسلمانی را به درد می آورد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یک حادثه در عراق 300 نفر بیگناه را به خاک و خون می کشان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عراق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پاکستان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بنگلادش و جای جای جهان اسلام فتنه ها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آرامش کفر و صهیونیستها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انگیخته شده است. این یک فتنه بزرگ است که علمای اسلام و ملتهای مسلمان باید در برابر آن بایستند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9957A8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دو: جنگ افروزی و ویران سازی کشورها و تضعیف جبهه مقاومت</w:t>
      </w:r>
    </w:p>
    <w:p w:rsidR="009957A8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جنگ افروزی و ویران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سازی کشورهای اسلامی است آن هم به واسطه مزدورانی مانند آل سعود. اینان دنیای اسلام را به جنگ کشانده اند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جبهه مقاومت را مورد هجوم قرار داد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ه ا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یمن را مورد تجاوز قرار دادند</w:t>
      </w:r>
      <w:r w:rsidR="009957A8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9957A8" w:rsidRPr="00F5354E" w:rsidRDefault="009957A8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سه: سرکوب مردم توسط دولتهای مستبد</w:t>
      </w:r>
    </w:p>
    <w:p w:rsidR="008077A4" w:rsidRPr="00F5354E" w:rsidRDefault="009957A8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دولتهای مستبد در کشورهای خودشان مردمانشان را به بند کشیده اند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بحرین تابلویی از نقض حقوق بشر در دنیای امروز است که دولتی دارد اکثریت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خودش را سرکوب می کند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AA4" w:rsidRPr="00F5354E" w:rsidRDefault="003A2A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چهار</w:t>
      </w:r>
      <w:r w:rsidR="008077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: عادی سازی روابط بعض کشورهای اسلامی  با اسرائیل و آمریکا</w:t>
      </w:r>
    </w:p>
    <w:p w:rsidR="003A2A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نکته بسیار خطرناک که 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شاهد آن هستیم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تلاشی است که در دولتها و منطقه انجام می گیرد تاروابط با اسرائیل عادی شود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ترکیه اقدام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تجدید روابط با اسرائیل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کرد، این مصیبت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مصیبت اسلام است این درد بزرگ و جانکاه جهان اسلام است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عادی سازی با دشمنان اسلام و سفاکان عالم؟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!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!! عادی سازی روابط با قدرتی مثل اسرائیل و قدرتهایی مثل آمریکا؟!!! قدرتهایی که برای معامله یک هواپیما قانون تصویب می کنند که یک کشوری محدود بماند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امروز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بعد از عید فطر ملت مسلمان ایران اعلام می کند ما در کنار ملت بحرین و آیت 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الله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شیخ عیسی قاسم و در کنار مقاومت ومظلومان عالم هستیم و به رسمیت شناختن اسرائیل و همکاری با دشمنان اسلام و روابط آشکار و نهان آل سعود با اسرائیل را محکوم می کنیم</w:t>
      </w:r>
      <w:r w:rsidR="003A2AA4"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بسم الله الرحمن الرحیم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 ایها الذین آمنوا اتقوا الله 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الاخوة و الاخوات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اوصیکم و نفسی بتقوی الله و رعایة اوامره و نواهیه فی مختلف ساحات حیاتنا الفردیة و العائلیة و الاجتماعیة فانّ تقوی الله مفتاح سداد و ذخیرة معاد و من اهم مظاهر التقوی الاهتمام بامور المسلمین و نحن الان و الامة الاسلامیة نواجه ظروفا قاسیة و آلاماً واسعة داخل جسم الامة و اشیر هنا الی بعض هذة التحدیات: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اولا: ما نهانی منه من انتشار المد التکفیری و الارهابی، هذه الفکرة المبتنیة علی اسس اعتقادیة ضعیفة و ضئیلة و التی انتجبت عن هذة المجازر و قتل المظلومین و انتهاک الحرمات فی انحاء العالم الاسلامی من العراق الی باکستان و بنقلادش و ... و نعلن هنا بصراحة ان ایران الاسلام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تدین بهذه مواقف الظالمة و الارهابیة 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و ثانیا: ما نشاهده الیوم من الدول العمیلة و المستبدة من العدوان و علی دول اخری، کما فی الیمن و علی شعبها و شعوبها کما فی البحرین، فما نشاهده الیوم من الظلم و الاضطهاد للشعب البحرین و خصوصاً الشباب و العلماء لا یتناسب و القانون الدولی و الاسلامی و الانسانی و نحن ندین هذه العملیات الاستفزازیة و خصوصا العلماء و الحوزات العلمیة فی الایران و العراق و سائر البلاد یدینون ما قامت به دولة البحرین من التعرض للحوزات و المساجد و العلماء و الرموز السانیة و لاسیما آیة الله الشیخ عیسی قاسم حفظه الله و ندعو هذه الدولة للتمکین من القانون الدولی و حریة الشعب البحرینی و فی هذا مصلحتهم و مصالح الامة و الشعب البحرینی و لو استمروا علی هذه النهج المظلم و خاضوا هذه الفتن فسوف یخسرون کل شیء و الله ینتقم منهم انشالله</w:t>
      </w:r>
    </w:p>
    <w:p w:rsidR="00F5354E" w:rsidRPr="00F5354E" w:rsidRDefault="00F5354E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ثالثا ما نراه من سیاسة تطبیع العلاقات مع الکیان الصهیونی  و تضعیف المقاومة الاسلامیة و للاسف الشدید قامت حکومة ترکیا بهذا العمل و قامت بتجدید علاقاتها مع اسرائیل الناصب مضافا الی العلاقات السریة و المعلنة بین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الحکومة السعودیة الظالمة و الکیان الصهیونی و هذا ما لا ترضی به الشعوب المسلمة و ختاما نبتهل الی المولی ان یفرج عن المسلمین و یوحد صفوفهم و ینصرهم علی اعدائهم 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hAnsi="IRBadr" w:cs="IRBadr"/>
          <w:b/>
          <w:bCs/>
          <w:sz w:val="32"/>
          <w:szCs w:val="32"/>
          <w:rtl/>
        </w:rPr>
        <w:t xml:space="preserve">نسئلک اللهم و ندعوک باسمک العظیم الاعظم الاعز الاجلّ الاکرم یا الله </w:t>
      </w:r>
      <w:r w:rsidRPr="00F5354E">
        <w:rPr>
          <w:rFonts w:ascii="IRBadr" w:hAnsi="IRBadr" w:cs="IRBadr"/>
          <w:sz w:val="32"/>
          <w:szCs w:val="32"/>
          <w:rtl/>
        </w:rPr>
        <w:t>یا الله یا الله ...</w:t>
      </w:r>
    </w:p>
    <w:p w:rsidR="008077A4" w:rsidRPr="00F5354E" w:rsidRDefault="008077A4" w:rsidP="0030257B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5354E">
        <w:rPr>
          <w:rFonts w:ascii="IRBadr" w:hAnsi="IRBadr" w:cs="IRBadr"/>
          <w:sz w:val="32"/>
          <w:szCs w:val="32"/>
          <w:rtl/>
        </w:rPr>
        <w:t>اللهم ارزقنا توفیق الطاعة و بعدالمعصیة و صدق النیّة و عرفان الحرمة اللهم انصر الاسلام و اهله و اخذل الکفر و اهله.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F5354E">
        <w:rPr>
          <w:rFonts w:ascii="IRBadr" w:hAnsi="IRBadr" w:cs="IRBadr"/>
          <w:sz w:val="32"/>
          <w:szCs w:val="32"/>
          <w:rtl/>
        </w:rPr>
        <w:t>اغفر المومنین و المومنات والمسلمین والمسلمات</w:t>
      </w:r>
    </w:p>
    <w:p w:rsidR="008077A4" w:rsidRPr="00F5354E" w:rsidRDefault="008077A4" w:rsidP="0030257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اموات و مؤمنین درگذشته، شهدای بزرگوار، مراجع عظام درگذشته، درگذشتگان از این جمع و امام شهیدان را با اولیای خودت محشور بفرما؛ گناهان ما را ببخش، توبه ما را بپذیر، باران رحمت و برکات مادی و معنوی‌ات را</w:t>
      </w:r>
      <w:r w:rsidR="00F5354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ما فرو بفرست؛ </w:t>
      </w:r>
      <w:r w:rsidRPr="00F5354E">
        <w:rPr>
          <w:rFonts w:ascii="IRBadr" w:eastAsiaTheme="minorHAnsi" w:hAnsi="IRBadr" w:cs="IRBadr"/>
          <w:color w:val="auto"/>
          <w:sz w:val="32"/>
          <w:szCs w:val="32"/>
          <w:rtl/>
        </w:rPr>
        <w:t>خدایا سلام و درود ما را به محضر پیامبر اکرم و فاطمه زهرا و خدیجه کبرا و ائمه هدی (سلام‌الله‌علیهم اجمعین) به‌ویژه امام عصر (عج الله تعالی فرجه الشریف) ابلاغ بفرما؛ در فرج نورانی آن حضرت تعجیل بفرما.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</w:pPr>
      <w:r w:rsidRPr="00F5354E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F5354E">
        <w:rPr>
          <w:rStyle w:val="FootnoteReference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10"/>
      </w:r>
    </w:p>
    <w:p w:rsidR="008077A4" w:rsidRPr="00F5354E" w:rsidRDefault="008077A4" w:rsidP="0030257B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5354E">
        <w:rPr>
          <w:rFonts w:ascii="IRBadr" w:hAnsi="IRBadr" w:cs="IRBadr"/>
          <w:sz w:val="32"/>
          <w:szCs w:val="32"/>
          <w:rtl/>
        </w:rPr>
        <w:t>صدق الله العلی العظیم</w:t>
      </w:r>
    </w:p>
    <w:p w:rsidR="008077A4" w:rsidRPr="00F5354E" w:rsidRDefault="008077A4" w:rsidP="0030257B">
      <w:pPr>
        <w:spacing w:line="276" w:lineRule="auto"/>
        <w:rPr>
          <w:rFonts w:ascii="IRBadr" w:hAnsi="IRBadr" w:cs="IRBadr"/>
          <w:sz w:val="32"/>
          <w:szCs w:val="32"/>
        </w:rPr>
      </w:pPr>
    </w:p>
    <w:p w:rsidR="008077A4" w:rsidRPr="00F5354E" w:rsidRDefault="008077A4" w:rsidP="0030257B">
      <w:pPr>
        <w:spacing w:line="276" w:lineRule="auto"/>
        <w:rPr>
          <w:rFonts w:ascii="IRBadr" w:hAnsi="IRBadr" w:cs="IRBadr"/>
          <w:sz w:val="32"/>
          <w:szCs w:val="32"/>
        </w:rPr>
      </w:pPr>
    </w:p>
    <w:p w:rsidR="00D202C8" w:rsidRPr="00F5354E" w:rsidRDefault="00D202C8" w:rsidP="0030257B">
      <w:pPr>
        <w:spacing w:line="276" w:lineRule="auto"/>
        <w:rPr>
          <w:rFonts w:ascii="IRBadr" w:hAnsi="IRBadr" w:cs="IRBadr"/>
          <w:sz w:val="32"/>
          <w:szCs w:val="32"/>
        </w:rPr>
      </w:pPr>
    </w:p>
    <w:sectPr w:rsidR="00D202C8" w:rsidRPr="00F5354E" w:rsidSect="00043E1E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1E" w:rsidRDefault="0063051E" w:rsidP="008077A4">
      <w:pPr>
        <w:spacing w:after="0"/>
      </w:pPr>
      <w:r>
        <w:separator/>
      </w:r>
    </w:p>
  </w:endnote>
  <w:endnote w:type="continuationSeparator" w:id="0">
    <w:p w:rsidR="0063051E" w:rsidRDefault="0063051E" w:rsidP="00807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B" w:rsidRDefault="0030257B" w:rsidP="00043E1E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30257B" w:rsidRDefault="003025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70" w:rsidRPr="005A3670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30257B" w:rsidRDefault="0030257B" w:rsidP="00043E1E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1E" w:rsidRDefault="0063051E" w:rsidP="008077A4">
      <w:pPr>
        <w:spacing w:after="0"/>
      </w:pPr>
      <w:r>
        <w:separator/>
      </w:r>
    </w:p>
  </w:footnote>
  <w:footnote w:type="continuationSeparator" w:id="0">
    <w:p w:rsidR="0063051E" w:rsidRDefault="0063051E" w:rsidP="008077A4">
      <w:pPr>
        <w:spacing w:after="0"/>
      </w:pPr>
      <w:r>
        <w:continuationSeparator/>
      </w:r>
    </w:p>
  </w:footnote>
  <w:footnote w:id="1">
    <w:p w:rsidR="0030257B" w:rsidRPr="00A0410E" w:rsidRDefault="0030257B" w:rsidP="008077A4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Fonts w:ascii="IRBadr" w:hAnsi="IRBadr" w:cs="IRBadr"/>
          <w:sz w:val="28"/>
          <w:szCs w:val="28"/>
          <w:rtl/>
        </w:rPr>
        <w:t>. توبه، 119</w:t>
      </w:r>
      <w:r w:rsidRPr="00A0410E">
        <w:rPr>
          <w:rStyle w:val="FootnoteReference"/>
          <w:rFonts w:ascii="IRBadr" w:eastAsiaTheme="majorEastAsia" w:hAnsi="IRBadr" w:cs="IRBadr"/>
          <w:sz w:val="28"/>
          <w:szCs w:val="28"/>
        </w:rPr>
        <w:footnoteRef/>
      </w:r>
    </w:p>
  </w:footnote>
  <w:footnote w:id="2">
    <w:p w:rsidR="0030257B" w:rsidRPr="00A0410E" w:rsidRDefault="0030257B" w:rsidP="008077A4">
      <w:pPr>
        <w:pStyle w:val="FootnoteText"/>
        <w:rPr>
          <w:rFonts w:ascii="IRBadr" w:hAnsi="IRBadr" w:cs="IRBadr"/>
          <w:sz w:val="28"/>
          <w:szCs w:val="28"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ـ سوره بقره آیه 197</w:t>
      </w:r>
    </w:p>
  </w:footnote>
  <w:footnote w:id="3">
    <w:p w:rsidR="0030257B" w:rsidRPr="00A0410E" w:rsidRDefault="0030257B">
      <w:pPr>
        <w:pStyle w:val="FootnoteText"/>
        <w:rPr>
          <w:rFonts w:ascii="IRBadr" w:hAnsi="IRBadr" w:cs="IRBadr"/>
          <w:sz w:val="28"/>
          <w:szCs w:val="28"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آ سوره آل عمران، آیه 92</w:t>
      </w:r>
    </w:p>
  </w:footnote>
  <w:footnote w:id="4">
    <w:p w:rsidR="001E2F65" w:rsidRPr="00A0410E" w:rsidRDefault="001E2F65">
      <w:pPr>
        <w:pStyle w:val="FootnoteText"/>
        <w:rPr>
          <w:rFonts w:ascii="IRBadr" w:hAnsi="IRBadr" w:cs="IRBadr"/>
          <w:sz w:val="28"/>
          <w:szCs w:val="28"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ـ</w:t>
      </w:r>
      <w:r w:rsidR="00A0410E" w:rsidRPr="00A0410E">
        <w:rPr>
          <w:rFonts w:ascii="IRBadr" w:hAnsi="IRBadr" w:cs="IRBadr"/>
          <w:sz w:val="28"/>
          <w:szCs w:val="28"/>
          <w:rtl/>
        </w:rPr>
        <w:t xml:space="preserve"> مرحوم کلینی، کافی، ج 4، ص 12.</w:t>
      </w:r>
    </w:p>
  </w:footnote>
  <w:footnote w:id="5">
    <w:p w:rsidR="0030257B" w:rsidRPr="00A0410E" w:rsidRDefault="0030257B" w:rsidP="00EC2CFE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ـ سوره حشر (59) آیه 9: </w:t>
      </w:r>
      <w:r w:rsidRPr="00A0410E"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«وَ يُؤْثِرُونَ عَلىَ أَنفُسِهِمْ وَ لَوْ كاَنَ بهِمْ خَصَاصَةٌ» </w:t>
      </w:r>
      <w:r w:rsidRPr="00A0410E">
        <w:rPr>
          <w:rFonts w:ascii="IRBadr" w:hAnsi="IRBadr" w:cs="IRBadr"/>
          <w:sz w:val="28"/>
          <w:szCs w:val="28"/>
          <w:rtl/>
        </w:rPr>
        <w:t>و ديگران را بر خويش ترجيح مى‏دهند هر چند خود نيازمند باشند.</w:t>
      </w:r>
    </w:p>
  </w:footnote>
  <w:footnote w:id="6">
    <w:p w:rsidR="00A0410E" w:rsidRPr="00A0410E" w:rsidRDefault="00A0410E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ـ اشترى علي ( عليه السلام )، ثوباً فأعجبه فتصدّق به ، وقال : « سمعت رسول الله ( صلى الله عليه وآله ) يقول : من آثر على نفسه آثره يوم القيامة بالجنّة (محدث نوری، مستدرک الوسائل، ج 7، ص 250)</w:t>
      </w:r>
    </w:p>
  </w:footnote>
  <w:footnote w:id="7">
    <w:p w:rsidR="0030257B" w:rsidRPr="00A0410E" w:rsidRDefault="0030257B" w:rsidP="008077A4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Style w:val="FootnoteReference"/>
          <w:rFonts w:ascii="IRBadr" w:eastAsiaTheme="majorEastAsia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8">
    <w:p w:rsidR="0030257B" w:rsidRPr="00A0410E" w:rsidRDefault="0030257B" w:rsidP="008077A4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Style w:val="FootnoteReference"/>
          <w:rFonts w:ascii="IRBadr" w:eastAsiaTheme="majorEastAsia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</w:rPr>
        <w:t xml:space="preserve"> </w:t>
      </w:r>
      <w:r w:rsidRPr="00A0410E">
        <w:rPr>
          <w:rFonts w:ascii="IRBadr" w:hAnsi="IRBadr" w:cs="IRBadr"/>
          <w:sz w:val="28"/>
          <w:szCs w:val="28"/>
          <w:rtl/>
        </w:rPr>
        <w:t>سوره توبه (9) آیه 119.</w:t>
      </w:r>
    </w:p>
  </w:footnote>
  <w:footnote w:id="9">
    <w:p w:rsidR="0030257B" w:rsidRPr="00A0410E" w:rsidRDefault="0030257B" w:rsidP="00423D93">
      <w:pPr>
        <w:pStyle w:val="FootnoteText"/>
        <w:rPr>
          <w:rFonts w:ascii="IRBadr" w:hAnsi="IRBadr" w:cs="IRBadr"/>
          <w:sz w:val="28"/>
          <w:szCs w:val="28"/>
        </w:rPr>
      </w:pPr>
      <w:r w:rsidRPr="00A0410E">
        <w:rPr>
          <w:rStyle w:val="FootnoteReference"/>
          <w:rFonts w:ascii="IRBadr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 xml:space="preserve"> ـ اوصيكم عبادالله بتقوى الله الذى ضرب لكم الامثال و ... انتم مختبرون فيها و محاسبون عليها فان الدنيا رنق مشربها ردغ زائل و سناد مائل حتى اذا انس نافرها و اطمان ناكرها قمصت بارجلها و قنصت باحبلها و اقصدت باسهمها و اعلقت المرء او هاق المنيه. قائده له الى ضنك المضجع و وحشه المرجع و معاينه المحل و ثواب العمل</w:t>
      </w:r>
      <w:r w:rsidRPr="00A0410E">
        <w:rPr>
          <w:rFonts w:ascii="IRBadr" w:hAnsi="IRBadr" w:cs="IRBadr"/>
          <w:sz w:val="28"/>
          <w:szCs w:val="28"/>
        </w:rPr>
        <w:t>.</w:t>
      </w:r>
      <w:r w:rsidRPr="00A0410E">
        <w:rPr>
          <w:rFonts w:ascii="IRBadr" w:hAnsi="IRBadr" w:cs="IRBadr"/>
          <w:sz w:val="28"/>
          <w:szCs w:val="28"/>
          <w:rtl/>
        </w:rPr>
        <w:t xml:space="preserve"> </w:t>
      </w:r>
      <w:r w:rsidR="00A0410E">
        <w:rPr>
          <w:rFonts w:ascii="IRBadr" w:hAnsi="IRBadr" w:cs="IRBadr" w:hint="cs"/>
          <w:sz w:val="28"/>
          <w:szCs w:val="28"/>
          <w:rtl/>
        </w:rPr>
        <w:t>(</w:t>
      </w:r>
      <w:r w:rsidRPr="00A0410E">
        <w:rPr>
          <w:rFonts w:ascii="IRBadr" w:hAnsi="IRBadr" w:cs="IRBadr"/>
          <w:sz w:val="28"/>
          <w:szCs w:val="28"/>
          <w:rtl/>
        </w:rPr>
        <w:t xml:space="preserve">سید رضی، نهج البلاغه، خطبه 82 </w:t>
      </w:r>
      <w:r w:rsidR="00A0410E">
        <w:rPr>
          <w:rFonts w:ascii="IRBadr" w:hAnsi="IRBadr" w:cs="IRBadr" w:hint="cs"/>
          <w:sz w:val="28"/>
          <w:szCs w:val="28"/>
          <w:rtl/>
        </w:rPr>
        <w:t>)</w:t>
      </w:r>
    </w:p>
  </w:footnote>
  <w:footnote w:id="10">
    <w:p w:rsidR="0030257B" w:rsidRPr="00A0410E" w:rsidRDefault="0030257B" w:rsidP="008077A4">
      <w:pPr>
        <w:pStyle w:val="FootnoteText"/>
        <w:rPr>
          <w:rFonts w:ascii="IRBadr" w:hAnsi="IRBadr" w:cs="IRBadr"/>
          <w:sz w:val="28"/>
          <w:szCs w:val="28"/>
          <w:rtl/>
        </w:rPr>
      </w:pPr>
      <w:r w:rsidRPr="00A0410E">
        <w:rPr>
          <w:rStyle w:val="FootnoteReference"/>
          <w:rFonts w:ascii="IRBadr" w:eastAsiaTheme="majorEastAsia" w:hAnsi="IRBadr" w:cs="IRBadr"/>
          <w:sz w:val="28"/>
          <w:szCs w:val="28"/>
        </w:rPr>
        <w:footnoteRef/>
      </w:r>
      <w:r w:rsidRPr="00A0410E">
        <w:rPr>
          <w:rFonts w:ascii="IRBadr" w:hAnsi="IRBadr" w:cs="IRBadr"/>
          <w:sz w:val="28"/>
          <w:szCs w:val="28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7B" w:rsidRDefault="0030257B" w:rsidP="00043E1E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586153F4" wp14:editId="28DE9B86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>
      <w:rPr>
        <w:rFonts w:cs="2  Yekan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F011C06" wp14:editId="689D02C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9519F" id="متصل کننده مستقیم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</w:p>
  <w:p w:rsidR="0030257B" w:rsidRPr="00AB4B87" w:rsidRDefault="0030257B" w:rsidP="00043E1E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18/04/95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A21"/>
    <w:multiLevelType w:val="hybridMultilevel"/>
    <w:tmpl w:val="ADB8EBA2"/>
    <w:lvl w:ilvl="0" w:tplc="2598B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D30002"/>
    <w:multiLevelType w:val="hybridMultilevel"/>
    <w:tmpl w:val="68D2DE42"/>
    <w:lvl w:ilvl="0" w:tplc="EF9AA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C2187"/>
    <w:multiLevelType w:val="hybridMultilevel"/>
    <w:tmpl w:val="93A0C990"/>
    <w:lvl w:ilvl="0" w:tplc="8BA23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F97CA7"/>
    <w:multiLevelType w:val="hybridMultilevel"/>
    <w:tmpl w:val="A8DECEE8"/>
    <w:lvl w:ilvl="0" w:tplc="377CD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EA07AA"/>
    <w:multiLevelType w:val="hybridMultilevel"/>
    <w:tmpl w:val="511AAA2C"/>
    <w:lvl w:ilvl="0" w:tplc="09FA2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54FEF"/>
    <w:multiLevelType w:val="hybridMultilevel"/>
    <w:tmpl w:val="516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F3F49"/>
    <w:multiLevelType w:val="hybridMultilevel"/>
    <w:tmpl w:val="6FA0BB0E"/>
    <w:lvl w:ilvl="0" w:tplc="07AA8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16613E"/>
    <w:multiLevelType w:val="hybridMultilevel"/>
    <w:tmpl w:val="0C662AD2"/>
    <w:lvl w:ilvl="0" w:tplc="1534E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0114D"/>
    <w:multiLevelType w:val="hybridMultilevel"/>
    <w:tmpl w:val="0C9ACFA6"/>
    <w:lvl w:ilvl="0" w:tplc="3C863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9B0F2C"/>
    <w:multiLevelType w:val="hybridMultilevel"/>
    <w:tmpl w:val="C45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700E3"/>
    <w:multiLevelType w:val="hybridMultilevel"/>
    <w:tmpl w:val="810651FC"/>
    <w:lvl w:ilvl="0" w:tplc="E63AED0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EF2749"/>
    <w:multiLevelType w:val="hybridMultilevel"/>
    <w:tmpl w:val="F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22AE3"/>
    <w:multiLevelType w:val="hybridMultilevel"/>
    <w:tmpl w:val="5778326A"/>
    <w:lvl w:ilvl="0" w:tplc="1BBA07C4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4B7A"/>
    <w:multiLevelType w:val="hybridMultilevel"/>
    <w:tmpl w:val="DF2E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0ADA"/>
    <w:multiLevelType w:val="hybridMultilevel"/>
    <w:tmpl w:val="E20A4A34"/>
    <w:lvl w:ilvl="0" w:tplc="B50C1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404A1A"/>
    <w:multiLevelType w:val="hybridMultilevel"/>
    <w:tmpl w:val="EDF0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F5892"/>
    <w:multiLevelType w:val="hybridMultilevel"/>
    <w:tmpl w:val="F6FA6B24"/>
    <w:lvl w:ilvl="0" w:tplc="D67AB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C62DAE"/>
    <w:multiLevelType w:val="hybridMultilevel"/>
    <w:tmpl w:val="48F2EEE2"/>
    <w:lvl w:ilvl="0" w:tplc="3FF034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B41E1D"/>
    <w:multiLevelType w:val="hybridMultilevel"/>
    <w:tmpl w:val="285494AA"/>
    <w:lvl w:ilvl="0" w:tplc="C624FEA8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B6803"/>
    <w:multiLevelType w:val="hybridMultilevel"/>
    <w:tmpl w:val="E01E9812"/>
    <w:lvl w:ilvl="0" w:tplc="B6BE4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1C2874"/>
    <w:multiLevelType w:val="hybridMultilevel"/>
    <w:tmpl w:val="BB66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25172"/>
    <w:multiLevelType w:val="hybridMultilevel"/>
    <w:tmpl w:val="69102A10"/>
    <w:lvl w:ilvl="0" w:tplc="91D4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15D78"/>
    <w:multiLevelType w:val="hybridMultilevel"/>
    <w:tmpl w:val="C1EAE308"/>
    <w:lvl w:ilvl="0" w:tplc="6D4EB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967FB8"/>
    <w:multiLevelType w:val="hybridMultilevel"/>
    <w:tmpl w:val="11B0FC34"/>
    <w:lvl w:ilvl="0" w:tplc="6138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167E39"/>
    <w:multiLevelType w:val="hybridMultilevel"/>
    <w:tmpl w:val="12DE5068"/>
    <w:lvl w:ilvl="0" w:tplc="FCD8A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0068B6"/>
    <w:multiLevelType w:val="hybridMultilevel"/>
    <w:tmpl w:val="9D66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D01AF"/>
    <w:multiLevelType w:val="hybridMultilevel"/>
    <w:tmpl w:val="AE16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14"/>
  </w:num>
  <w:num w:numId="6">
    <w:abstractNumId w:val="0"/>
  </w:num>
  <w:num w:numId="7">
    <w:abstractNumId w:val="12"/>
  </w:num>
  <w:num w:numId="8">
    <w:abstractNumId w:val="25"/>
  </w:num>
  <w:num w:numId="9">
    <w:abstractNumId w:val="10"/>
  </w:num>
  <w:num w:numId="10">
    <w:abstractNumId w:val="20"/>
  </w:num>
  <w:num w:numId="11">
    <w:abstractNumId w:val="13"/>
  </w:num>
  <w:num w:numId="12">
    <w:abstractNumId w:val="30"/>
  </w:num>
  <w:num w:numId="13">
    <w:abstractNumId w:val="8"/>
  </w:num>
  <w:num w:numId="14">
    <w:abstractNumId w:val="19"/>
  </w:num>
  <w:num w:numId="15">
    <w:abstractNumId w:val="28"/>
  </w:num>
  <w:num w:numId="16">
    <w:abstractNumId w:val="6"/>
  </w:num>
  <w:num w:numId="17">
    <w:abstractNumId w:val="24"/>
  </w:num>
  <w:num w:numId="18">
    <w:abstractNumId w:val="5"/>
  </w:num>
  <w:num w:numId="19">
    <w:abstractNumId w:val="4"/>
  </w:num>
  <w:num w:numId="20">
    <w:abstractNumId w:val="26"/>
  </w:num>
  <w:num w:numId="21">
    <w:abstractNumId w:val="22"/>
  </w:num>
  <w:num w:numId="22">
    <w:abstractNumId w:val="27"/>
  </w:num>
  <w:num w:numId="23">
    <w:abstractNumId w:val="31"/>
  </w:num>
  <w:num w:numId="24">
    <w:abstractNumId w:val="16"/>
  </w:num>
  <w:num w:numId="25">
    <w:abstractNumId w:val="15"/>
  </w:num>
  <w:num w:numId="26">
    <w:abstractNumId w:val="21"/>
  </w:num>
  <w:num w:numId="27">
    <w:abstractNumId w:val="18"/>
  </w:num>
  <w:num w:numId="28">
    <w:abstractNumId w:val="9"/>
  </w:num>
  <w:num w:numId="29">
    <w:abstractNumId w:val="29"/>
  </w:num>
  <w:num w:numId="30">
    <w:abstractNumId w:val="3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4"/>
    <w:rsid w:val="00043E1E"/>
    <w:rsid w:val="00186719"/>
    <w:rsid w:val="001E2F65"/>
    <w:rsid w:val="0030257B"/>
    <w:rsid w:val="0031384A"/>
    <w:rsid w:val="003A2AA4"/>
    <w:rsid w:val="00423D93"/>
    <w:rsid w:val="00460A5B"/>
    <w:rsid w:val="0053346E"/>
    <w:rsid w:val="005A3670"/>
    <w:rsid w:val="006131B4"/>
    <w:rsid w:val="0063051E"/>
    <w:rsid w:val="006F2CC4"/>
    <w:rsid w:val="008077A4"/>
    <w:rsid w:val="00971132"/>
    <w:rsid w:val="009957A8"/>
    <w:rsid w:val="00A0410E"/>
    <w:rsid w:val="00A91FE8"/>
    <w:rsid w:val="00D202C8"/>
    <w:rsid w:val="00D60245"/>
    <w:rsid w:val="00E51A59"/>
    <w:rsid w:val="00EC2CFE"/>
    <w:rsid w:val="00F32FA6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DC0DB8B-1ECA-4144-A8AF-456421C2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8077A4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077A4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7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7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8077A4"/>
    <w:rPr>
      <w:rFonts w:ascii="IRBadr" w:eastAsia="2  Lotus" w:hAnsi="IRBadr" w:cs="IRBadr"/>
      <w:bCs/>
      <w:color w:val="000000" w:themeColor="tex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077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7A4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77A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77A4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77A4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7A4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7A4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7A4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077A4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077A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77A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7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77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77A4"/>
    <w:rPr>
      <w:rFonts w:ascii="2  Badr" w:eastAsia="Calibri" w:hAnsi="2  Badr" w:cs="2  Badr"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77A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A4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A4"/>
    <w:rPr>
      <w:sz w:val="20"/>
      <w:szCs w:val="20"/>
    </w:rPr>
  </w:style>
  <w:style w:type="character" w:customStyle="1" w:styleId="1">
    <w:name w:val="متن نظر نویسه1"/>
    <w:basedOn w:val="DefaultParagraphFont"/>
    <w:uiPriority w:val="99"/>
    <w:semiHidden/>
    <w:rsid w:val="008077A4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A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A4"/>
    <w:rPr>
      <w:b/>
      <w:bCs/>
    </w:rPr>
  </w:style>
  <w:style w:type="character" w:customStyle="1" w:styleId="10">
    <w:name w:val="موضوع توضیح نویسه1"/>
    <w:basedOn w:val="1"/>
    <w:uiPriority w:val="99"/>
    <w:semiHidden/>
    <w:rsid w:val="008077A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4"/>
    <w:rPr>
      <w:rFonts w:ascii="Tahoma" w:eastAsia="Calibri" w:hAnsi="Tahoma" w:cs="Tahoma"/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4"/>
    <w:pPr>
      <w:spacing w:after="0"/>
    </w:pPr>
    <w:rPr>
      <w:rFonts w:ascii="Tahoma" w:hAnsi="Tahoma" w:cs="Tahoma"/>
      <w:sz w:val="18"/>
      <w:szCs w:val="18"/>
    </w:rPr>
  </w:style>
  <w:style w:type="character" w:customStyle="1" w:styleId="11">
    <w:name w:val="متن بادکنک نویسه1"/>
    <w:basedOn w:val="DefaultParagraphFont"/>
    <w:uiPriority w:val="99"/>
    <w:semiHidden/>
    <w:rsid w:val="008077A4"/>
    <w:rPr>
      <w:rFonts w:ascii="Tahoma" w:eastAsia="Calibri" w:hAnsi="Tahoma" w:cs="Tahoma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077A4"/>
    <w:rPr>
      <w:color w:val="0000FF"/>
      <w:u w:val="single"/>
    </w:rPr>
  </w:style>
  <w:style w:type="character" w:customStyle="1" w:styleId="txtquran">
    <w:name w:val="txtquran"/>
    <w:basedOn w:val="DefaultParagraphFont"/>
    <w:rsid w:val="008077A4"/>
  </w:style>
  <w:style w:type="character" w:customStyle="1" w:styleId="aye">
    <w:name w:val="aye"/>
    <w:basedOn w:val="DefaultParagraphFont"/>
    <w:rsid w:val="008077A4"/>
  </w:style>
  <w:style w:type="character" w:customStyle="1" w:styleId="onf">
    <w:name w:val="onf"/>
    <w:basedOn w:val="DefaultParagraphFont"/>
    <w:rsid w:val="008077A4"/>
  </w:style>
  <w:style w:type="character" w:styleId="CommentReference">
    <w:name w:val="annotation reference"/>
    <w:basedOn w:val="DefaultParagraphFont"/>
    <w:uiPriority w:val="99"/>
    <w:semiHidden/>
    <w:unhideWhenUsed/>
    <w:rsid w:val="00F32FA6"/>
    <w:rPr>
      <w:sz w:val="16"/>
      <w:szCs w:val="16"/>
    </w:rPr>
  </w:style>
  <w:style w:type="character" w:customStyle="1" w:styleId="st">
    <w:name w:val="st"/>
    <w:basedOn w:val="DefaultParagraphFont"/>
    <w:rsid w:val="00A91FE8"/>
  </w:style>
  <w:style w:type="character" w:styleId="Emphasis">
    <w:name w:val="Emphasis"/>
    <w:basedOn w:val="DefaultParagraphFont"/>
    <w:uiPriority w:val="20"/>
    <w:qFormat/>
    <w:rsid w:val="00A91FE8"/>
    <w:rPr>
      <w:i/>
      <w:iCs/>
    </w:rPr>
  </w:style>
  <w:style w:type="character" w:customStyle="1" w:styleId="s">
    <w:name w:val="s"/>
    <w:basedOn w:val="DefaultParagraphFont"/>
    <w:rsid w:val="00A91FE8"/>
  </w:style>
  <w:style w:type="character" w:customStyle="1" w:styleId="arabic">
    <w:name w:val="arabic"/>
    <w:basedOn w:val="DefaultParagraphFont"/>
    <w:rsid w:val="001E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adabbor.org/?page=tadabbor&amp;SOID=3&amp;AYID=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2716</Words>
  <Characters>15482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Eshragh-admin</cp:lastModifiedBy>
  <cp:revision>2</cp:revision>
  <cp:lastPrinted>2016-07-10T05:58:00Z</cp:lastPrinted>
  <dcterms:created xsi:type="dcterms:W3CDTF">2016-07-10T05:59:00Z</dcterms:created>
  <dcterms:modified xsi:type="dcterms:W3CDTF">2016-07-10T05:59:00Z</dcterms:modified>
</cp:coreProperties>
</file>