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5F" w:rsidRPr="00A44237" w:rsidRDefault="00EB0902" w:rsidP="00FC3DF0">
      <w:pPr>
        <w:bidi/>
        <w:jc w:val="both"/>
        <w:rPr>
          <w:rFonts w:ascii="IRBadr" w:hAnsi="IRBadr" w:cs="IRBadr"/>
          <w:b/>
          <w:bCs/>
          <w:sz w:val="28"/>
          <w:szCs w:val="28"/>
          <w:rtl/>
          <w:lang w:bidi="fa-IR"/>
        </w:rPr>
      </w:pPr>
      <w:r w:rsidRPr="00A44237">
        <w:rPr>
          <w:rFonts w:ascii="IRBadr" w:hAnsi="IRBadr" w:cs="IRBadr"/>
          <w:b/>
          <w:bCs/>
          <w:sz w:val="28"/>
          <w:szCs w:val="28"/>
          <w:rtl/>
          <w:lang w:bidi="fa-IR"/>
        </w:rPr>
        <w:t>بسم‌الله</w:t>
      </w:r>
      <w:r w:rsidR="008A755F" w:rsidRPr="00A44237">
        <w:rPr>
          <w:rFonts w:ascii="IRBadr" w:hAnsi="IRBadr" w:cs="IRBadr"/>
          <w:b/>
          <w:bCs/>
          <w:sz w:val="28"/>
          <w:szCs w:val="28"/>
          <w:rtl/>
          <w:lang w:bidi="fa-IR"/>
        </w:rPr>
        <w:t xml:space="preserve"> الرحمن الرحیم</w:t>
      </w:r>
    </w:p>
    <w:p w:rsidR="00617076" w:rsidRDefault="00FC3DF0" w:rsidP="00617076">
      <w:pPr>
        <w:bidi/>
        <w:jc w:val="both"/>
        <w:rPr>
          <w:noProof/>
        </w:rPr>
      </w:pPr>
      <w:r w:rsidRPr="00A44237">
        <w:rPr>
          <w:rFonts w:ascii="IRBadr" w:hAnsi="IRBadr" w:cs="IRBadr"/>
          <w:b/>
          <w:bCs/>
          <w:sz w:val="28"/>
          <w:szCs w:val="28"/>
          <w:rtl/>
          <w:lang w:bidi="fa-IR"/>
        </w:rPr>
        <w:t>فهرست مطالب :</w:t>
      </w:r>
      <w:r w:rsidRPr="00A44237">
        <w:rPr>
          <w:rFonts w:ascii="IRBadr" w:hAnsi="IRBadr" w:cs="IRBadr"/>
          <w:b/>
          <w:bCs/>
          <w:sz w:val="28"/>
          <w:szCs w:val="28"/>
          <w:rtl/>
          <w:lang w:bidi="fa-IR"/>
        </w:rPr>
        <w:fldChar w:fldCharType="begin"/>
      </w:r>
      <w:r w:rsidRPr="00A44237">
        <w:rPr>
          <w:rFonts w:ascii="IRBadr" w:hAnsi="IRBadr" w:cs="IRBadr"/>
          <w:b/>
          <w:bCs/>
          <w:sz w:val="28"/>
          <w:szCs w:val="28"/>
          <w:rtl/>
          <w:lang w:bidi="fa-IR"/>
        </w:rPr>
        <w:instrText xml:space="preserve"> </w:instrText>
      </w:r>
      <w:r w:rsidRPr="00A44237">
        <w:rPr>
          <w:rFonts w:ascii="IRBadr" w:hAnsi="IRBadr" w:cs="IRBadr"/>
          <w:b/>
          <w:bCs/>
          <w:sz w:val="28"/>
          <w:szCs w:val="28"/>
          <w:lang w:bidi="fa-IR"/>
        </w:rPr>
        <w:instrText>TOC</w:instrText>
      </w:r>
      <w:r w:rsidRPr="00A44237">
        <w:rPr>
          <w:rFonts w:ascii="IRBadr" w:hAnsi="IRBadr" w:cs="IRBadr"/>
          <w:b/>
          <w:bCs/>
          <w:sz w:val="28"/>
          <w:szCs w:val="28"/>
          <w:rtl/>
          <w:lang w:bidi="fa-IR"/>
        </w:rPr>
        <w:instrText xml:space="preserve"> \</w:instrText>
      </w:r>
      <w:r w:rsidRPr="00A44237">
        <w:rPr>
          <w:rFonts w:ascii="IRBadr" w:hAnsi="IRBadr" w:cs="IRBadr"/>
          <w:b/>
          <w:bCs/>
          <w:sz w:val="28"/>
          <w:szCs w:val="28"/>
          <w:lang w:bidi="fa-IR"/>
        </w:rPr>
        <w:instrText>o "</w:instrText>
      </w:r>
      <w:r w:rsidRPr="00A44237">
        <w:rPr>
          <w:rFonts w:ascii="IRBadr" w:hAnsi="IRBadr" w:cs="IRBadr"/>
          <w:b/>
          <w:bCs/>
          <w:sz w:val="28"/>
          <w:szCs w:val="28"/>
          <w:rtl/>
          <w:lang w:bidi="fa-IR"/>
        </w:rPr>
        <w:instrText>1-4</w:instrText>
      </w:r>
      <w:r w:rsidRPr="00A44237">
        <w:rPr>
          <w:rFonts w:ascii="IRBadr" w:hAnsi="IRBadr" w:cs="IRBadr"/>
          <w:b/>
          <w:bCs/>
          <w:sz w:val="28"/>
          <w:szCs w:val="28"/>
          <w:lang w:bidi="fa-IR"/>
        </w:rPr>
        <w:instrText>" \h \z \u</w:instrText>
      </w:r>
      <w:r w:rsidRPr="00A44237">
        <w:rPr>
          <w:rFonts w:ascii="IRBadr" w:hAnsi="IRBadr" w:cs="IRBadr"/>
          <w:b/>
          <w:bCs/>
          <w:sz w:val="28"/>
          <w:szCs w:val="28"/>
          <w:rtl/>
          <w:lang w:bidi="fa-IR"/>
        </w:rPr>
        <w:instrText xml:space="preserve"> </w:instrText>
      </w:r>
      <w:r w:rsidRPr="00A44237">
        <w:rPr>
          <w:rFonts w:ascii="IRBadr" w:hAnsi="IRBadr" w:cs="IRBadr"/>
          <w:b/>
          <w:bCs/>
          <w:sz w:val="28"/>
          <w:szCs w:val="28"/>
          <w:rtl/>
          <w:lang w:bidi="fa-IR"/>
        </w:rPr>
        <w:fldChar w:fldCharType="separate"/>
      </w:r>
    </w:p>
    <w:p w:rsidR="00617076" w:rsidRDefault="00617076" w:rsidP="00617076">
      <w:pPr>
        <w:pStyle w:val="TOC1"/>
        <w:tabs>
          <w:tab w:val="right" w:leader="dot" w:pos="9350"/>
        </w:tabs>
        <w:rPr>
          <w:rFonts w:asciiTheme="minorHAnsi" w:hAnsiTheme="minorHAnsi" w:cstheme="minorBidi"/>
          <w:noProof/>
          <w:szCs w:val="22"/>
        </w:rPr>
      </w:pPr>
      <w:hyperlink w:anchor="_Toc427402921" w:history="1">
        <w:r w:rsidRPr="009E1388">
          <w:rPr>
            <w:rStyle w:val="Hyperlink"/>
            <w:rFonts w:hint="eastAsia"/>
            <w:noProof/>
            <w:rtl/>
          </w:rPr>
          <w:t>سب</w:t>
        </w:r>
        <w:r w:rsidRPr="009E1388">
          <w:rPr>
            <w:rStyle w:val="Hyperlink"/>
            <w:noProof/>
            <w:rtl/>
          </w:rPr>
          <w:t xml:space="preserve"> </w:t>
        </w:r>
        <w:r w:rsidRPr="009E1388">
          <w:rPr>
            <w:rStyle w:val="Hyperlink"/>
            <w:rFonts w:hint="eastAsia"/>
            <w:noProof/>
            <w:rtl/>
          </w:rPr>
          <w:t>النب</w:t>
        </w:r>
        <w:r w:rsidRPr="009E1388">
          <w:rPr>
            <w:rStyle w:val="Hyperlink"/>
            <w:rFonts w:hint="cs"/>
            <w:noProof/>
            <w:rtl/>
          </w:rPr>
          <w:t>ی</w:t>
        </w:r>
        <w:r w:rsidRPr="009E1388">
          <w:rPr>
            <w:rStyle w:val="Hyperlink"/>
            <w:noProof/>
            <w:rtl/>
          </w:rPr>
          <w:t xml:space="preserve"> (</w:t>
        </w:r>
        <w:r w:rsidRPr="009E1388">
          <w:rPr>
            <w:rStyle w:val="Hyperlink"/>
            <w:rFonts w:hint="eastAsia"/>
            <w:noProof/>
            <w:rtl/>
          </w:rPr>
          <w:t>ص</w:t>
        </w:r>
        <w:r w:rsidRPr="009E1388">
          <w:rPr>
            <w:rStyle w:val="Hyperlink"/>
            <w:noProof/>
            <w:rtl/>
          </w:rPr>
          <w:t>)</w:t>
        </w:r>
        <w:r>
          <w:rPr>
            <w:noProof/>
            <w:webHidden/>
          </w:rPr>
          <w:tab/>
        </w:r>
        <w:r>
          <w:rPr>
            <w:rStyle w:val="Hyperlink"/>
            <w:noProof/>
            <w:rtl/>
          </w:rPr>
          <w:fldChar w:fldCharType="begin"/>
        </w:r>
        <w:r>
          <w:rPr>
            <w:noProof/>
            <w:webHidden/>
          </w:rPr>
          <w:instrText xml:space="preserve"> PAGEREF _Toc427402921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617076" w:rsidRDefault="00617076" w:rsidP="00617076">
      <w:pPr>
        <w:pStyle w:val="TOC1"/>
        <w:tabs>
          <w:tab w:val="right" w:leader="dot" w:pos="9350"/>
        </w:tabs>
        <w:rPr>
          <w:rFonts w:asciiTheme="minorHAnsi" w:hAnsiTheme="minorHAnsi" w:cstheme="minorBidi"/>
          <w:noProof/>
          <w:szCs w:val="22"/>
        </w:rPr>
      </w:pPr>
      <w:hyperlink w:anchor="_Toc427402922" w:history="1">
        <w:r w:rsidRPr="009E1388">
          <w:rPr>
            <w:rStyle w:val="Hyperlink"/>
            <w:rFonts w:hint="eastAsia"/>
            <w:noProof/>
            <w:rtl/>
          </w:rPr>
          <w:t>مرور</w:t>
        </w:r>
        <w:r w:rsidRPr="009E1388">
          <w:rPr>
            <w:rStyle w:val="Hyperlink"/>
            <w:noProof/>
            <w:rtl/>
          </w:rPr>
          <w:t xml:space="preserve"> </w:t>
        </w:r>
        <w:r w:rsidRPr="009E1388">
          <w:rPr>
            <w:rStyle w:val="Hyperlink"/>
            <w:rFonts w:hint="eastAsia"/>
            <w:noProof/>
            <w:rtl/>
          </w:rPr>
          <w:t>بحث</w:t>
        </w:r>
        <w:r w:rsidRPr="009E1388">
          <w:rPr>
            <w:rStyle w:val="Hyperlink"/>
            <w:noProof/>
            <w:rtl/>
          </w:rPr>
          <w:t xml:space="preserve"> </w:t>
        </w:r>
        <w:r w:rsidRPr="009E1388">
          <w:rPr>
            <w:rStyle w:val="Hyperlink"/>
            <w:rFonts w:hint="eastAsia"/>
            <w:noProof/>
            <w:rtl/>
          </w:rPr>
          <w:t>سابق</w:t>
        </w:r>
        <w:r>
          <w:rPr>
            <w:noProof/>
            <w:webHidden/>
          </w:rPr>
          <w:tab/>
        </w:r>
        <w:r>
          <w:rPr>
            <w:rStyle w:val="Hyperlink"/>
            <w:noProof/>
            <w:rtl/>
          </w:rPr>
          <w:fldChar w:fldCharType="begin"/>
        </w:r>
        <w:r>
          <w:rPr>
            <w:noProof/>
            <w:webHidden/>
          </w:rPr>
          <w:instrText xml:space="preserve"> PAGEREF _Toc427402922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617076" w:rsidRDefault="00617076" w:rsidP="00617076">
      <w:pPr>
        <w:pStyle w:val="TOC1"/>
        <w:tabs>
          <w:tab w:val="right" w:leader="dot" w:pos="9350"/>
        </w:tabs>
        <w:rPr>
          <w:rFonts w:asciiTheme="minorHAnsi" w:hAnsiTheme="minorHAnsi" w:cstheme="minorBidi"/>
          <w:noProof/>
          <w:szCs w:val="22"/>
        </w:rPr>
      </w:pPr>
      <w:hyperlink w:anchor="_Toc427402923" w:history="1">
        <w:r w:rsidRPr="009E1388">
          <w:rPr>
            <w:rStyle w:val="Hyperlink"/>
            <w:rFonts w:hint="eastAsia"/>
            <w:noProof/>
            <w:rtl/>
          </w:rPr>
          <w:t>مستندات</w:t>
        </w:r>
        <w:r w:rsidRPr="009E1388">
          <w:rPr>
            <w:rStyle w:val="Hyperlink"/>
            <w:noProof/>
            <w:rtl/>
          </w:rPr>
          <w:t xml:space="preserve"> </w:t>
        </w:r>
        <w:r w:rsidRPr="009E1388">
          <w:rPr>
            <w:rStyle w:val="Hyperlink"/>
            <w:rFonts w:hint="eastAsia"/>
            <w:noProof/>
            <w:rtl/>
          </w:rPr>
          <w:t>بحث</w:t>
        </w:r>
        <w:r>
          <w:rPr>
            <w:noProof/>
            <w:webHidden/>
          </w:rPr>
          <w:tab/>
        </w:r>
        <w:r>
          <w:rPr>
            <w:rStyle w:val="Hyperlink"/>
            <w:noProof/>
            <w:rtl/>
          </w:rPr>
          <w:fldChar w:fldCharType="begin"/>
        </w:r>
        <w:r>
          <w:rPr>
            <w:noProof/>
            <w:webHidden/>
          </w:rPr>
          <w:instrText xml:space="preserve"> PAGEREF _Toc427402923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617076" w:rsidRDefault="00617076" w:rsidP="00617076">
      <w:pPr>
        <w:pStyle w:val="TOC1"/>
        <w:tabs>
          <w:tab w:val="right" w:leader="dot" w:pos="9350"/>
        </w:tabs>
        <w:rPr>
          <w:rFonts w:asciiTheme="minorHAnsi" w:hAnsiTheme="minorHAnsi" w:cstheme="minorBidi"/>
          <w:noProof/>
          <w:szCs w:val="22"/>
        </w:rPr>
      </w:pPr>
      <w:hyperlink w:anchor="_Toc427402924" w:history="1">
        <w:r w:rsidRPr="009E1388">
          <w:rPr>
            <w:rStyle w:val="Hyperlink"/>
            <w:rFonts w:hint="eastAsia"/>
            <w:noProof/>
            <w:rtl/>
          </w:rPr>
          <w:t>روا</w:t>
        </w:r>
        <w:r w:rsidRPr="009E1388">
          <w:rPr>
            <w:rStyle w:val="Hyperlink"/>
            <w:rFonts w:hint="cs"/>
            <w:noProof/>
            <w:rtl/>
          </w:rPr>
          <w:t>ی</w:t>
        </w:r>
        <w:r w:rsidRPr="009E1388">
          <w:rPr>
            <w:rStyle w:val="Hyperlink"/>
            <w:rFonts w:hint="eastAsia"/>
            <w:noProof/>
            <w:rtl/>
          </w:rPr>
          <w:t>ت</w:t>
        </w:r>
        <w:r w:rsidRPr="009E1388">
          <w:rPr>
            <w:rStyle w:val="Hyperlink"/>
            <w:noProof/>
            <w:rtl/>
          </w:rPr>
          <w:t xml:space="preserve"> </w:t>
        </w:r>
        <w:r w:rsidRPr="009E1388">
          <w:rPr>
            <w:rStyle w:val="Hyperlink"/>
            <w:rFonts w:hint="eastAsia"/>
            <w:noProof/>
            <w:rtl/>
          </w:rPr>
          <w:t>اول</w:t>
        </w:r>
        <w:r>
          <w:rPr>
            <w:noProof/>
            <w:webHidden/>
          </w:rPr>
          <w:tab/>
        </w:r>
        <w:r>
          <w:rPr>
            <w:rStyle w:val="Hyperlink"/>
            <w:noProof/>
            <w:rtl/>
          </w:rPr>
          <w:fldChar w:fldCharType="begin"/>
        </w:r>
        <w:r>
          <w:rPr>
            <w:noProof/>
            <w:webHidden/>
          </w:rPr>
          <w:instrText xml:space="preserve"> PAGEREF _Toc427402924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617076" w:rsidRDefault="00617076" w:rsidP="00617076">
      <w:pPr>
        <w:pStyle w:val="TOC1"/>
        <w:tabs>
          <w:tab w:val="right" w:leader="dot" w:pos="9350"/>
        </w:tabs>
        <w:rPr>
          <w:rFonts w:asciiTheme="minorHAnsi" w:hAnsiTheme="minorHAnsi" w:cstheme="minorBidi"/>
          <w:noProof/>
          <w:szCs w:val="22"/>
        </w:rPr>
      </w:pPr>
      <w:hyperlink w:anchor="_Toc427402925" w:history="1">
        <w:r w:rsidRPr="009E1388">
          <w:rPr>
            <w:rStyle w:val="Hyperlink"/>
            <w:rFonts w:hint="eastAsia"/>
            <w:noProof/>
            <w:rtl/>
          </w:rPr>
          <w:t>روا</w:t>
        </w:r>
        <w:r w:rsidRPr="009E1388">
          <w:rPr>
            <w:rStyle w:val="Hyperlink"/>
            <w:rFonts w:hint="cs"/>
            <w:noProof/>
            <w:rtl/>
          </w:rPr>
          <w:t>ی</w:t>
        </w:r>
        <w:r w:rsidRPr="009E1388">
          <w:rPr>
            <w:rStyle w:val="Hyperlink"/>
            <w:rFonts w:hint="eastAsia"/>
            <w:noProof/>
            <w:rtl/>
          </w:rPr>
          <w:t>ت</w:t>
        </w:r>
        <w:r w:rsidRPr="009E1388">
          <w:rPr>
            <w:rStyle w:val="Hyperlink"/>
            <w:noProof/>
            <w:rtl/>
          </w:rPr>
          <w:t xml:space="preserve"> </w:t>
        </w:r>
        <w:r w:rsidRPr="009E1388">
          <w:rPr>
            <w:rStyle w:val="Hyperlink"/>
            <w:rFonts w:hint="eastAsia"/>
            <w:noProof/>
            <w:rtl/>
          </w:rPr>
          <w:t>دوم</w:t>
        </w:r>
        <w:r>
          <w:rPr>
            <w:noProof/>
            <w:webHidden/>
          </w:rPr>
          <w:tab/>
        </w:r>
        <w:r>
          <w:rPr>
            <w:rStyle w:val="Hyperlink"/>
            <w:noProof/>
            <w:rtl/>
          </w:rPr>
          <w:fldChar w:fldCharType="begin"/>
        </w:r>
        <w:r>
          <w:rPr>
            <w:noProof/>
            <w:webHidden/>
          </w:rPr>
          <w:instrText xml:space="preserve"> PAGEREF _Toc427402925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617076" w:rsidRDefault="00617076" w:rsidP="00617076">
      <w:pPr>
        <w:pStyle w:val="TOC1"/>
        <w:tabs>
          <w:tab w:val="right" w:leader="dot" w:pos="9350"/>
        </w:tabs>
        <w:rPr>
          <w:rFonts w:asciiTheme="minorHAnsi" w:hAnsiTheme="minorHAnsi" w:cstheme="minorBidi"/>
          <w:noProof/>
          <w:szCs w:val="22"/>
        </w:rPr>
      </w:pPr>
      <w:hyperlink w:anchor="_Toc427402926" w:history="1">
        <w:r w:rsidRPr="009E1388">
          <w:rPr>
            <w:rStyle w:val="Hyperlink"/>
            <w:rFonts w:hint="eastAsia"/>
            <w:noProof/>
            <w:rtl/>
          </w:rPr>
          <w:t>مستند</w:t>
        </w:r>
        <w:r w:rsidRPr="009E1388">
          <w:rPr>
            <w:rStyle w:val="Hyperlink"/>
            <w:noProof/>
            <w:rtl/>
          </w:rPr>
          <w:t xml:space="preserve"> </w:t>
        </w:r>
        <w:r w:rsidRPr="009E1388">
          <w:rPr>
            <w:rStyle w:val="Hyperlink"/>
            <w:rFonts w:hint="eastAsia"/>
            <w:noProof/>
            <w:rtl/>
          </w:rPr>
          <w:t>حکم</w:t>
        </w:r>
        <w:r w:rsidRPr="009E1388">
          <w:rPr>
            <w:rStyle w:val="Hyperlink"/>
            <w:noProof/>
            <w:rtl/>
          </w:rPr>
          <w:t xml:space="preserve"> </w:t>
        </w:r>
        <w:r w:rsidRPr="009E1388">
          <w:rPr>
            <w:rStyle w:val="Hyperlink"/>
            <w:rFonts w:hint="eastAsia"/>
            <w:noProof/>
            <w:rtl/>
          </w:rPr>
          <w:t>فوق</w:t>
        </w:r>
        <w:r>
          <w:rPr>
            <w:noProof/>
            <w:webHidden/>
          </w:rPr>
          <w:tab/>
        </w:r>
        <w:r>
          <w:rPr>
            <w:rStyle w:val="Hyperlink"/>
            <w:noProof/>
            <w:rtl/>
          </w:rPr>
          <w:fldChar w:fldCharType="begin"/>
        </w:r>
        <w:r>
          <w:rPr>
            <w:noProof/>
            <w:webHidden/>
          </w:rPr>
          <w:instrText xml:space="preserve"> PAGEREF _Toc427402926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617076" w:rsidRDefault="00617076" w:rsidP="00617076">
      <w:pPr>
        <w:pStyle w:val="TOC2"/>
        <w:tabs>
          <w:tab w:val="right" w:leader="dot" w:pos="9350"/>
        </w:tabs>
        <w:rPr>
          <w:rFonts w:asciiTheme="minorHAnsi" w:hAnsiTheme="minorHAnsi" w:cstheme="minorBidi"/>
          <w:noProof/>
          <w:szCs w:val="22"/>
        </w:rPr>
      </w:pPr>
      <w:hyperlink w:anchor="_Toc427402927" w:history="1">
        <w:r w:rsidRPr="009E1388">
          <w:rPr>
            <w:rStyle w:val="Hyperlink"/>
            <w:rFonts w:hint="eastAsia"/>
            <w:noProof/>
            <w:rtl/>
          </w:rPr>
          <w:t>دل</w:t>
        </w:r>
        <w:r w:rsidRPr="009E1388">
          <w:rPr>
            <w:rStyle w:val="Hyperlink"/>
            <w:rFonts w:hint="cs"/>
            <w:noProof/>
            <w:rtl/>
          </w:rPr>
          <w:t>ی</w:t>
        </w:r>
        <w:r w:rsidRPr="009E1388">
          <w:rPr>
            <w:rStyle w:val="Hyperlink"/>
            <w:rFonts w:hint="eastAsia"/>
            <w:noProof/>
            <w:rtl/>
          </w:rPr>
          <w:t>ل</w:t>
        </w:r>
        <w:r w:rsidRPr="009E1388">
          <w:rPr>
            <w:rStyle w:val="Hyperlink"/>
            <w:noProof/>
            <w:rtl/>
          </w:rPr>
          <w:t xml:space="preserve"> </w:t>
        </w:r>
        <w:r w:rsidRPr="009E1388">
          <w:rPr>
            <w:rStyle w:val="Hyperlink"/>
            <w:rFonts w:hint="eastAsia"/>
            <w:noProof/>
            <w:rtl/>
          </w:rPr>
          <w:t>قول</w:t>
        </w:r>
        <w:r w:rsidRPr="009E1388">
          <w:rPr>
            <w:rStyle w:val="Hyperlink"/>
            <w:noProof/>
            <w:rtl/>
          </w:rPr>
          <w:t xml:space="preserve"> </w:t>
        </w:r>
        <w:r w:rsidRPr="009E1388">
          <w:rPr>
            <w:rStyle w:val="Hyperlink"/>
            <w:rFonts w:hint="eastAsia"/>
            <w:noProof/>
            <w:rtl/>
          </w:rPr>
          <w:t>به</w:t>
        </w:r>
        <w:r w:rsidRPr="009E1388">
          <w:rPr>
            <w:rStyle w:val="Hyperlink"/>
            <w:noProof/>
            <w:rtl/>
          </w:rPr>
          <w:t xml:space="preserve"> </w:t>
        </w:r>
        <w:r w:rsidRPr="009E1388">
          <w:rPr>
            <w:rStyle w:val="Hyperlink"/>
            <w:rFonts w:hint="eastAsia"/>
            <w:noProof/>
            <w:rtl/>
          </w:rPr>
          <w:t>اذن</w:t>
        </w:r>
        <w:r>
          <w:rPr>
            <w:noProof/>
            <w:webHidden/>
          </w:rPr>
          <w:tab/>
        </w:r>
        <w:r>
          <w:rPr>
            <w:rStyle w:val="Hyperlink"/>
            <w:noProof/>
            <w:rtl/>
          </w:rPr>
          <w:fldChar w:fldCharType="begin"/>
        </w:r>
        <w:r>
          <w:rPr>
            <w:noProof/>
            <w:webHidden/>
          </w:rPr>
          <w:instrText xml:space="preserve"> PAGEREF _Toc427402927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617076" w:rsidRDefault="00617076" w:rsidP="00617076">
      <w:pPr>
        <w:pStyle w:val="TOC2"/>
        <w:tabs>
          <w:tab w:val="right" w:leader="dot" w:pos="9350"/>
        </w:tabs>
        <w:rPr>
          <w:rFonts w:asciiTheme="minorHAnsi" w:hAnsiTheme="minorHAnsi" w:cstheme="minorBidi"/>
          <w:noProof/>
          <w:szCs w:val="22"/>
        </w:rPr>
      </w:pPr>
      <w:hyperlink w:anchor="_Toc427402928" w:history="1">
        <w:r w:rsidRPr="009E1388">
          <w:rPr>
            <w:rStyle w:val="Hyperlink"/>
            <w:rFonts w:hint="eastAsia"/>
            <w:noProof/>
            <w:rtl/>
          </w:rPr>
          <w:t>دل</w:t>
        </w:r>
        <w:r w:rsidRPr="009E1388">
          <w:rPr>
            <w:rStyle w:val="Hyperlink"/>
            <w:rFonts w:hint="cs"/>
            <w:noProof/>
            <w:rtl/>
          </w:rPr>
          <w:t>ی</w:t>
        </w:r>
        <w:r w:rsidRPr="009E1388">
          <w:rPr>
            <w:rStyle w:val="Hyperlink"/>
            <w:rFonts w:hint="eastAsia"/>
            <w:noProof/>
            <w:rtl/>
          </w:rPr>
          <w:t>ل</w:t>
        </w:r>
        <w:r w:rsidRPr="009E1388">
          <w:rPr>
            <w:rStyle w:val="Hyperlink"/>
            <w:noProof/>
            <w:rtl/>
          </w:rPr>
          <w:t xml:space="preserve"> </w:t>
        </w:r>
        <w:r w:rsidRPr="009E1388">
          <w:rPr>
            <w:rStyle w:val="Hyperlink"/>
            <w:rFonts w:hint="eastAsia"/>
            <w:noProof/>
            <w:rtl/>
          </w:rPr>
          <w:t>دوم</w:t>
        </w:r>
        <w:r w:rsidRPr="009E1388">
          <w:rPr>
            <w:rStyle w:val="Hyperlink"/>
            <w:noProof/>
            <w:rtl/>
          </w:rPr>
          <w:t xml:space="preserve"> </w:t>
        </w:r>
        <w:r w:rsidRPr="009E1388">
          <w:rPr>
            <w:rStyle w:val="Hyperlink"/>
            <w:rFonts w:hint="eastAsia"/>
            <w:noProof/>
            <w:rtl/>
          </w:rPr>
          <w:t>قول</w:t>
        </w:r>
        <w:r w:rsidRPr="009E1388">
          <w:rPr>
            <w:rStyle w:val="Hyperlink"/>
            <w:noProof/>
            <w:rtl/>
          </w:rPr>
          <w:t xml:space="preserve"> </w:t>
        </w:r>
        <w:r w:rsidRPr="009E1388">
          <w:rPr>
            <w:rStyle w:val="Hyperlink"/>
            <w:rFonts w:hint="eastAsia"/>
            <w:noProof/>
            <w:rtl/>
          </w:rPr>
          <w:t>فوق</w:t>
        </w:r>
        <w:r>
          <w:rPr>
            <w:noProof/>
            <w:webHidden/>
          </w:rPr>
          <w:tab/>
        </w:r>
        <w:r>
          <w:rPr>
            <w:rStyle w:val="Hyperlink"/>
            <w:noProof/>
            <w:rtl/>
          </w:rPr>
          <w:fldChar w:fldCharType="begin"/>
        </w:r>
        <w:r>
          <w:rPr>
            <w:noProof/>
            <w:webHidden/>
          </w:rPr>
          <w:instrText xml:space="preserve"> PAGEREF _Toc427402928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617076" w:rsidRDefault="00617076" w:rsidP="00617076">
      <w:pPr>
        <w:pStyle w:val="TOC2"/>
        <w:tabs>
          <w:tab w:val="right" w:leader="dot" w:pos="9350"/>
        </w:tabs>
        <w:rPr>
          <w:rFonts w:asciiTheme="minorHAnsi" w:hAnsiTheme="minorHAnsi" w:cstheme="minorBidi"/>
          <w:noProof/>
          <w:szCs w:val="22"/>
        </w:rPr>
      </w:pPr>
      <w:hyperlink w:anchor="_Toc427402929" w:history="1">
        <w:r w:rsidRPr="009E1388">
          <w:rPr>
            <w:rStyle w:val="Hyperlink"/>
            <w:rFonts w:hint="eastAsia"/>
            <w:noProof/>
            <w:rtl/>
          </w:rPr>
          <w:t>روا</w:t>
        </w:r>
        <w:r w:rsidRPr="009E1388">
          <w:rPr>
            <w:rStyle w:val="Hyperlink"/>
            <w:rFonts w:hint="cs"/>
            <w:noProof/>
            <w:rtl/>
          </w:rPr>
          <w:t>ی</w:t>
        </w:r>
        <w:r w:rsidRPr="009E1388">
          <w:rPr>
            <w:rStyle w:val="Hyperlink"/>
            <w:rFonts w:hint="eastAsia"/>
            <w:noProof/>
            <w:rtl/>
          </w:rPr>
          <w:t>ت</w:t>
        </w:r>
        <w:r w:rsidRPr="009E1388">
          <w:rPr>
            <w:rStyle w:val="Hyperlink"/>
            <w:noProof/>
            <w:rtl/>
          </w:rPr>
          <w:t xml:space="preserve"> </w:t>
        </w:r>
        <w:r w:rsidRPr="009E1388">
          <w:rPr>
            <w:rStyle w:val="Hyperlink"/>
            <w:rFonts w:hint="eastAsia"/>
            <w:noProof/>
            <w:rtl/>
          </w:rPr>
          <w:t>اول</w:t>
        </w:r>
        <w:r>
          <w:rPr>
            <w:noProof/>
            <w:webHidden/>
          </w:rPr>
          <w:tab/>
        </w:r>
        <w:r>
          <w:rPr>
            <w:rStyle w:val="Hyperlink"/>
            <w:noProof/>
            <w:rtl/>
          </w:rPr>
          <w:fldChar w:fldCharType="begin"/>
        </w:r>
        <w:r>
          <w:rPr>
            <w:noProof/>
            <w:webHidden/>
          </w:rPr>
          <w:instrText xml:space="preserve"> PAGEREF _Toc427402929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617076" w:rsidRDefault="00617076" w:rsidP="00617076">
      <w:pPr>
        <w:pStyle w:val="TOC2"/>
        <w:tabs>
          <w:tab w:val="right" w:leader="dot" w:pos="9350"/>
        </w:tabs>
        <w:rPr>
          <w:rFonts w:asciiTheme="minorHAnsi" w:hAnsiTheme="minorHAnsi" w:cstheme="minorBidi"/>
          <w:noProof/>
          <w:szCs w:val="22"/>
        </w:rPr>
      </w:pPr>
      <w:hyperlink w:anchor="_Toc427402930" w:history="1">
        <w:r w:rsidRPr="009E1388">
          <w:rPr>
            <w:rStyle w:val="Hyperlink"/>
            <w:rFonts w:hint="eastAsia"/>
            <w:noProof/>
            <w:rtl/>
          </w:rPr>
          <w:t>اتخاذ</w:t>
        </w:r>
        <w:r w:rsidRPr="009E1388">
          <w:rPr>
            <w:rStyle w:val="Hyperlink"/>
            <w:noProof/>
            <w:rtl/>
          </w:rPr>
          <w:t xml:space="preserve"> </w:t>
        </w:r>
        <w:r w:rsidRPr="009E1388">
          <w:rPr>
            <w:rStyle w:val="Hyperlink"/>
            <w:rFonts w:hint="eastAsia"/>
            <w:noProof/>
            <w:rtl/>
          </w:rPr>
          <w:t>مبنا</w:t>
        </w:r>
        <w:r>
          <w:rPr>
            <w:noProof/>
            <w:webHidden/>
          </w:rPr>
          <w:tab/>
        </w:r>
        <w:r>
          <w:rPr>
            <w:rStyle w:val="Hyperlink"/>
            <w:noProof/>
            <w:rtl/>
          </w:rPr>
          <w:fldChar w:fldCharType="begin"/>
        </w:r>
        <w:r>
          <w:rPr>
            <w:noProof/>
            <w:webHidden/>
          </w:rPr>
          <w:instrText xml:space="preserve"> PAGEREF _Toc427402930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617076" w:rsidRDefault="00617076" w:rsidP="00617076">
      <w:pPr>
        <w:pStyle w:val="TOC2"/>
        <w:tabs>
          <w:tab w:val="right" w:leader="dot" w:pos="9350"/>
        </w:tabs>
        <w:rPr>
          <w:rFonts w:asciiTheme="minorHAnsi" w:hAnsiTheme="minorHAnsi" w:cstheme="minorBidi"/>
          <w:noProof/>
          <w:szCs w:val="22"/>
        </w:rPr>
      </w:pPr>
      <w:hyperlink w:anchor="_Toc427402931" w:history="1">
        <w:r w:rsidRPr="009E1388">
          <w:rPr>
            <w:rStyle w:val="Hyperlink"/>
            <w:rFonts w:hint="eastAsia"/>
            <w:noProof/>
            <w:rtl/>
          </w:rPr>
          <w:t>روا</w:t>
        </w:r>
        <w:r w:rsidRPr="009E1388">
          <w:rPr>
            <w:rStyle w:val="Hyperlink"/>
            <w:rFonts w:hint="cs"/>
            <w:noProof/>
            <w:rtl/>
          </w:rPr>
          <w:t>ی</w:t>
        </w:r>
        <w:r w:rsidRPr="009E1388">
          <w:rPr>
            <w:rStyle w:val="Hyperlink"/>
            <w:rFonts w:hint="eastAsia"/>
            <w:noProof/>
            <w:rtl/>
          </w:rPr>
          <w:t>ت</w:t>
        </w:r>
        <w:r w:rsidRPr="009E1388">
          <w:rPr>
            <w:rStyle w:val="Hyperlink"/>
            <w:noProof/>
            <w:rtl/>
          </w:rPr>
          <w:t xml:space="preserve"> </w:t>
        </w:r>
        <w:r w:rsidRPr="009E1388">
          <w:rPr>
            <w:rStyle w:val="Hyperlink"/>
            <w:rFonts w:hint="eastAsia"/>
            <w:noProof/>
            <w:rtl/>
          </w:rPr>
          <w:t>دوم</w:t>
        </w:r>
        <w:r>
          <w:rPr>
            <w:noProof/>
            <w:webHidden/>
          </w:rPr>
          <w:tab/>
        </w:r>
        <w:r>
          <w:rPr>
            <w:rStyle w:val="Hyperlink"/>
            <w:noProof/>
            <w:rtl/>
          </w:rPr>
          <w:fldChar w:fldCharType="begin"/>
        </w:r>
        <w:r>
          <w:rPr>
            <w:noProof/>
            <w:webHidden/>
          </w:rPr>
          <w:instrText xml:space="preserve"> PAGEREF _Toc427402931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617076" w:rsidRDefault="00617076" w:rsidP="00617076">
      <w:pPr>
        <w:pStyle w:val="TOC2"/>
        <w:tabs>
          <w:tab w:val="right" w:leader="dot" w:pos="9350"/>
        </w:tabs>
        <w:rPr>
          <w:rFonts w:asciiTheme="minorHAnsi" w:hAnsiTheme="minorHAnsi" w:cstheme="minorBidi"/>
          <w:noProof/>
          <w:szCs w:val="22"/>
        </w:rPr>
      </w:pPr>
      <w:hyperlink w:anchor="_Toc427402932" w:history="1">
        <w:r w:rsidRPr="009E1388">
          <w:rPr>
            <w:rStyle w:val="Hyperlink"/>
            <w:rFonts w:hint="eastAsia"/>
            <w:noProof/>
            <w:rtl/>
          </w:rPr>
          <w:t>اتخاذ</w:t>
        </w:r>
        <w:r w:rsidRPr="009E1388">
          <w:rPr>
            <w:rStyle w:val="Hyperlink"/>
            <w:noProof/>
            <w:rtl/>
          </w:rPr>
          <w:t xml:space="preserve"> </w:t>
        </w:r>
        <w:r w:rsidRPr="009E1388">
          <w:rPr>
            <w:rStyle w:val="Hyperlink"/>
            <w:rFonts w:hint="eastAsia"/>
            <w:noProof/>
            <w:rtl/>
          </w:rPr>
          <w:t>مبنا</w:t>
        </w:r>
        <w:r>
          <w:rPr>
            <w:noProof/>
            <w:webHidden/>
          </w:rPr>
          <w:tab/>
        </w:r>
        <w:r>
          <w:rPr>
            <w:rStyle w:val="Hyperlink"/>
            <w:noProof/>
            <w:rtl/>
          </w:rPr>
          <w:fldChar w:fldCharType="begin"/>
        </w:r>
        <w:r>
          <w:rPr>
            <w:noProof/>
            <w:webHidden/>
          </w:rPr>
          <w:instrText xml:space="preserve"> PAGEREF _Toc427402932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617076" w:rsidRDefault="00617076" w:rsidP="00617076">
      <w:pPr>
        <w:pStyle w:val="TOC3"/>
        <w:tabs>
          <w:tab w:val="right" w:leader="dot" w:pos="9350"/>
        </w:tabs>
        <w:rPr>
          <w:rFonts w:asciiTheme="minorHAnsi" w:eastAsiaTheme="minorEastAsia" w:hAnsiTheme="minorHAnsi" w:cstheme="minorBidi"/>
          <w:noProof/>
          <w:szCs w:val="22"/>
        </w:rPr>
      </w:pPr>
      <w:hyperlink w:anchor="_Toc427402933" w:history="1">
        <w:r w:rsidRPr="009E1388">
          <w:rPr>
            <w:rStyle w:val="Hyperlink"/>
            <w:rFonts w:hint="eastAsia"/>
            <w:noProof/>
            <w:rtl/>
          </w:rPr>
          <w:t>مراد</w:t>
        </w:r>
        <w:r w:rsidRPr="009E1388">
          <w:rPr>
            <w:rStyle w:val="Hyperlink"/>
            <w:noProof/>
            <w:rtl/>
          </w:rPr>
          <w:t xml:space="preserve"> </w:t>
        </w:r>
        <w:r w:rsidRPr="009E1388">
          <w:rPr>
            <w:rStyle w:val="Hyperlink"/>
            <w:rFonts w:hint="eastAsia"/>
            <w:noProof/>
            <w:rtl/>
          </w:rPr>
          <w:t>از</w:t>
        </w:r>
        <w:r w:rsidRPr="009E1388">
          <w:rPr>
            <w:rStyle w:val="Hyperlink"/>
            <w:noProof/>
            <w:rtl/>
          </w:rPr>
          <w:t xml:space="preserve"> </w:t>
        </w:r>
        <w:r w:rsidRPr="009E1388">
          <w:rPr>
            <w:rStyle w:val="Hyperlink"/>
            <w:rFonts w:hint="eastAsia"/>
            <w:noProof/>
            <w:rtl/>
          </w:rPr>
          <w:t>سب</w:t>
        </w:r>
        <w:r>
          <w:rPr>
            <w:noProof/>
            <w:webHidden/>
          </w:rPr>
          <w:tab/>
        </w:r>
        <w:r>
          <w:rPr>
            <w:rStyle w:val="Hyperlink"/>
            <w:noProof/>
            <w:rtl/>
          </w:rPr>
          <w:fldChar w:fldCharType="begin"/>
        </w:r>
        <w:r>
          <w:rPr>
            <w:noProof/>
            <w:webHidden/>
          </w:rPr>
          <w:instrText xml:space="preserve"> PAGEREF _Toc427402933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617076" w:rsidRDefault="00617076" w:rsidP="00617076">
      <w:pPr>
        <w:pStyle w:val="TOC3"/>
        <w:tabs>
          <w:tab w:val="right" w:leader="dot" w:pos="9350"/>
        </w:tabs>
        <w:rPr>
          <w:rFonts w:asciiTheme="minorHAnsi" w:eastAsiaTheme="minorEastAsia" w:hAnsiTheme="minorHAnsi" w:cstheme="minorBidi"/>
          <w:noProof/>
          <w:szCs w:val="22"/>
        </w:rPr>
      </w:pPr>
      <w:hyperlink w:anchor="_Toc427402934" w:history="1">
        <w:r w:rsidRPr="009E1388">
          <w:rPr>
            <w:rStyle w:val="Hyperlink"/>
            <w:rFonts w:hint="eastAsia"/>
            <w:noProof/>
            <w:rtl/>
          </w:rPr>
          <w:t>انکار</w:t>
        </w:r>
        <w:r w:rsidRPr="009E1388">
          <w:rPr>
            <w:rStyle w:val="Hyperlink"/>
            <w:noProof/>
            <w:rtl/>
          </w:rPr>
          <w:t xml:space="preserve"> </w:t>
        </w:r>
        <w:r w:rsidRPr="009E1388">
          <w:rPr>
            <w:rStyle w:val="Hyperlink"/>
            <w:rFonts w:hint="eastAsia"/>
            <w:noProof/>
            <w:rtl/>
          </w:rPr>
          <w:t>امامت</w:t>
        </w:r>
        <w:r>
          <w:rPr>
            <w:noProof/>
            <w:webHidden/>
          </w:rPr>
          <w:tab/>
        </w:r>
        <w:r>
          <w:rPr>
            <w:rStyle w:val="Hyperlink"/>
            <w:noProof/>
            <w:rtl/>
          </w:rPr>
          <w:fldChar w:fldCharType="begin"/>
        </w:r>
        <w:r>
          <w:rPr>
            <w:noProof/>
            <w:webHidden/>
          </w:rPr>
          <w:instrText xml:space="preserve"> PAGEREF _Toc427402934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617076" w:rsidRDefault="00617076" w:rsidP="00617076">
      <w:pPr>
        <w:pStyle w:val="TOC3"/>
        <w:tabs>
          <w:tab w:val="right" w:leader="dot" w:pos="9350"/>
        </w:tabs>
        <w:rPr>
          <w:rFonts w:asciiTheme="minorHAnsi" w:eastAsiaTheme="minorEastAsia" w:hAnsiTheme="minorHAnsi" w:cstheme="minorBidi"/>
          <w:noProof/>
          <w:szCs w:val="22"/>
        </w:rPr>
      </w:pPr>
      <w:hyperlink w:anchor="_Toc427402935" w:history="1">
        <w:r w:rsidRPr="009E1388">
          <w:rPr>
            <w:rStyle w:val="Hyperlink"/>
            <w:rFonts w:hint="eastAsia"/>
            <w:noProof/>
            <w:rtl/>
          </w:rPr>
          <w:t>مصاد</w:t>
        </w:r>
        <w:r w:rsidRPr="009E1388">
          <w:rPr>
            <w:rStyle w:val="Hyperlink"/>
            <w:rFonts w:hint="cs"/>
            <w:noProof/>
            <w:rtl/>
          </w:rPr>
          <w:t>ی</w:t>
        </w:r>
        <w:r w:rsidRPr="009E1388">
          <w:rPr>
            <w:rStyle w:val="Hyperlink"/>
            <w:rFonts w:hint="eastAsia"/>
            <w:noProof/>
            <w:rtl/>
          </w:rPr>
          <w:t>ق</w:t>
        </w:r>
        <w:r w:rsidRPr="009E1388">
          <w:rPr>
            <w:rStyle w:val="Hyperlink"/>
            <w:noProof/>
            <w:rtl/>
          </w:rPr>
          <w:t xml:space="preserve"> </w:t>
        </w:r>
        <w:r w:rsidRPr="009E1388">
          <w:rPr>
            <w:rStyle w:val="Hyperlink"/>
            <w:rFonts w:hint="eastAsia"/>
            <w:noProof/>
            <w:rtl/>
          </w:rPr>
          <w:t>سب</w:t>
        </w:r>
        <w:r>
          <w:rPr>
            <w:noProof/>
            <w:webHidden/>
          </w:rPr>
          <w:tab/>
        </w:r>
        <w:r>
          <w:rPr>
            <w:rStyle w:val="Hyperlink"/>
            <w:noProof/>
            <w:rtl/>
          </w:rPr>
          <w:fldChar w:fldCharType="begin"/>
        </w:r>
        <w:r>
          <w:rPr>
            <w:noProof/>
            <w:webHidden/>
          </w:rPr>
          <w:instrText xml:space="preserve"> PAGEREF _Toc427402935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617076" w:rsidRDefault="00617076" w:rsidP="00617076">
      <w:pPr>
        <w:pStyle w:val="TOC4"/>
        <w:tabs>
          <w:tab w:val="right" w:leader="dot" w:pos="9350"/>
        </w:tabs>
        <w:rPr>
          <w:rFonts w:asciiTheme="minorHAnsi" w:eastAsiaTheme="minorEastAsia" w:hAnsiTheme="minorHAnsi" w:cstheme="minorBidi"/>
          <w:noProof/>
          <w:szCs w:val="22"/>
        </w:rPr>
      </w:pPr>
      <w:hyperlink w:anchor="_Toc427402936" w:history="1">
        <w:r w:rsidRPr="009E1388">
          <w:rPr>
            <w:rStyle w:val="Hyperlink"/>
            <w:rFonts w:ascii="IRBadr" w:hAnsi="IRBadr" w:cs="IRBadr" w:hint="eastAsia"/>
            <w:noProof/>
            <w:rtl/>
          </w:rPr>
          <w:t>اسلام</w:t>
        </w:r>
        <w:r w:rsidRPr="009E1388">
          <w:rPr>
            <w:rStyle w:val="Hyperlink"/>
            <w:rFonts w:ascii="IRBadr" w:hAnsi="IRBadr" w:cs="IRBadr"/>
            <w:noProof/>
            <w:rtl/>
          </w:rPr>
          <w:t xml:space="preserve"> </w:t>
        </w:r>
        <w:r w:rsidRPr="009E1388">
          <w:rPr>
            <w:rStyle w:val="Hyperlink"/>
            <w:rFonts w:ascii="IRBadr" w:hAnsi="IRBadr" w:cs="IRBadr" w:hint="eastAsia"/>
            <w:noProof/>
            <w:rtl/>
          </w:rPr>
          <w:t>آوردن</w:t>
        </w:r>
        <w:r w:rsidRPr="009E1388">
          <w:rPr>
            <w:rStyle w:val="Hyperlink"/>
            <w:rFonts w:ascii="IRBadr" w:hAnsi="IRBadr" w:cs="IRBadr"/>
            <w:noProof/>
            <w:rtl/>
          </w:rPr>
          <w:t xml:space="preserve"> </w:t>
        </w:r>
        <w:r w:rsidRPr="009E1388">
          <w:rPr>
            <w:rStyle w:val="Hyperlink"/>
            <w:rFonts w:ascii="IRBadr" w:hAnsi="IRBadr" w:cs="IRBadr" w:hint="eastAsia"/>
            <w:noProof/>
            <w:rtl/>
          </w:rPr>
          <w:t>ساب</w:t>
        </w:r>
        <w:r>
          <w:rPr>
            <w:noProof/>
            <w:webHidden/>
          </w:rPr>
          <w:tab/>
        </w:r>
        <w:r>
          <w:rPr>
            <w:rStyle w:val="Hyperlink"/>
            <w:noProof/>
            <w:rtl/>
          </w:rPr>
          <w:fldChar w:fldCharType="begin"/>
        </w:r>
        <w:r>
          <w:rPr>
            <w:noProof/>
            <w:webHidden/>
          </w:rPr>
          <w:instrText xml:space="preserve"> PAGEREF _Toc427402936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617076" w:rsidRDefault="00617076" w:rsidP="00617076">
      <w:pPr>
        <w:pStyle w:val="TOC4"/>
        <w:tabs>
          <w:tab w:val="right" w:leader="dot" w:pos="9350"/>
        </w:tabs>
        <w:rPr>
          <w:rFonts w:asciiTheme="minorHAnsi" w:eastAsiaTheme="minorEastAsia" w:hAnsiTheme="minorHAnsi" w:cstheme="minorBidi"/>
          <w:noProof/>
          <w:szCs w:val="22"/>
        </w:rPr>
      </w:pPr>
      <w:hyperlink w:anchor="_Toc427402937" w:history="1">
        <w:r w:rsidRPr="009E1388">
          <w:rPr>
            <w:rStyle w:val="Hyperlink"/>
            <w:rFonts w:ascii="IRBadr" w:hAnsi="IRBadr" w:cs="IRBadr" w:hint="eastAsia"/>
            <w:noProof/>
            <w:rtl/>
          </w:rPr>
          <w:t>آثار</w:t>
        </w:r>
        <w:r w:rsidRPr="009E1388">
          <w:rPr>
            <w:rStyle w:val="Hyperlink"/>
            <w:rFonts w:ascii="IRBadr" w:hAnsi="IRBadr" w:cs="IRBadr"/>
            <w:noProof/>
            <w:rtl/>
          </w:rPr>
          <w:t xml:space="preserve"> </w:t>
        </w:r>
        <w:r w:rsidRPr="009E1388">
          <w:rPr>
            <w:rStyle w:val="Hyperlink"/>
            <w:rFonts w:ascii="IRBadr" w:hAnsi="IRBadr" w:cs="IRBadr" w:hint="eastAsia"/>
            <w:noProof/>
            <w:rtl/>
          </w:rPr>
          <w:t>سب</w:t>
        </w:r>
        <w:r>
          <w:rPr>
            <w:noProof/>
            <w:webHidden/>
          </w:rPr>
          <w:tab/>
        </w:r>
        <w:r>
          <w:rPr>
            <w:rStyle w:val="Hyperlink"/>
            <w:noProof/>
            <w:rtl/>
          </w:rPr>
          <w:fldChar w:fldCharType="begin"/>
        </w:r>
        <w:r>
          <w:rPr>
            <w:noProof/>
            <w:webHidden/>
          </w:rPr>
          <w:instrText xml:space="preserve"> PAGEREF _Toc427402937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617076" w:rsidRDefault="00617076" w:rsidP="00617076">
      <w:pPr>
        <w:pStyle w:val="TOC4"/>
        <w:tabs>
          <w:tab w:val="right" w:leader="dot" w:pos="9350"/>
        </w:tabs>
        <w:rPr>
          <w:rFonts w:asciiTheme="minorHAnsi" w:eastAsiaTheme="minorEastAsia" w:hAnsiTheme="minorHAnsi" w:cstheme="minorBidi"/>
          <w:noProof/>
          <w:szCs w:val="22"/>
        </w:rPr>
      </w:pPr>
      <w:hyperlink w:anchor="_Toc427402938" w:history="1">
        <w:r w:rsidRPr="009E1388">
          <w:rPr>
            <w:rStyle w:val="Hyperlink"/>
            <w:rFonts w:ascii="IRBadr" w:hAnsi="IRBadr" w:cs="IRBadr" w:hint="eastAsia"/>
            <w:noProof/>
            <w:rtl/>
          </w:rPr>
          <w:t>فور</w:t>
        </w:r>
        <w:r w:rsidRPr="009E1388">
          <w:rPr>
            <w:rStyle w:val="Hyperlink"/>
            <w:rFonts w:ascii="IRBadr" w:hAnsi="IRBadr" w:cs="IRBadr" w:hint="cs"/>
            <w:noProof/>
            <w:rtl/>
          </w:rPr>
          <w:t>ی</w:t>
        </w:r>
        <w:r w:rsidRPr="009E1388">
          <w:rPr>
            <w:rStyle w:val="Hyperlink"/>
            <w:rFonts w:ascii="IRBadr" w:hAnsi="IRBadr" w:cs="IRBadr" w:hint="eastAsia"/>
            <w:noProof/>
            <w:rtl/>
          </w:rPr>
          <w:t>ت</w:t>
        </w:r>
        <w:r w:rsidRPr="009E1388">
          <w:rPr>
            <w:rStyle w:val="Hyperlink"/>
            <w:rFonts w:ascii="IRBadr" w:hAnsi="IRBadr" w:cs="IRBadr"/>
            <w:noProof/>
            <w:rtl/>
          </w:rPr>
          <w:t xml:space="preserve"> </w:t>
        </w:r>
        <w:r w:rsidRPr="009E1388">
          <w:rPr>
            <w:rStyle w:val="Hyperlink"/>
            <w:rFonts w:ascii="IRBadr" w:hAnsi="IRBadr" w:cs="IRBadr" w:hint="eastAsia"/>
            <w:noProof/>
            <w:rtl/>
          </w:rPr>
          <w:t>ا</w:t>
        </w:r>
        <w:r w:rsidRPr="009E1388">
          <w:rPr>
            <w:rStyle w:val="Hyperlink"/>
            <w:rFonts w:ascii="IRBadr" w:hAnsi="IRBadr" w:cs="IRBadr" w:hint="cs"/>
            <w:noProof/>
            <w:rtl/>
          </w:rPr>
          <w:t>ی</w:t>
        </w:r>
        <w:r w:rsidRPr="009E1388">
          <w:rPr>
            <w:rStyle w:val="Hyperlink"/>
            <w:rFonts w:ascii="IRBadr" w:hAnsi="IRBadr" w:cs="IRBadr" w:hint="eastAsia"/>
            <w:noProof/>
            <w:rtl/>
          </w:rPr>
          <w:t>ن</w:t>
        </w:r>
        <w:r w:rsidRPr="009E1388">
          <w:rPr>
            <w:rStyle w:val="Hyperlink"/>
            <w:rFonts w:ascii="IRBadr" w:hAnsi="IRBadr" w:cs="IRBadr"/>
            <w:noProof/>
            <w:rtl/>
          </w:rPr>
          <w:t xml:space="preserve"> </w:t>
        </w:r>
        <w:r w:rsidRPr="009E1388">
          <w:rPr>
            <w:rStyle w:val="Hyperlink"/>
            <w:rFonts w:ascii="IRBadr" w:hAnsi="IRBadr" w:cs="IRBadr" w:hint="eastAsia"/>
            <w:noProof/>
            <w:rtl/>
          </w:rPr>
          <w:t>حکم</w:t>
        </w:r>
        <w:r>
          <w:rPr>
            <w:noProof/>
            <w:webHidden/>
          </w:rPr>
          <w:tab/>
        </w:r>
        <w:r>
          <w:rPr>
            <w:rStyle w:val="Hyperlink"/>
            <w:noProof/>
            <w:rtl/>
          </w:rPr>
          <w:fldChar w:fldCharType="begin"/>
        </w:r>
        <w:r>
          <w:rPr>
            <w:noProof/>
            <w:webHidden/>
          </w:rPr>
          <w:instrText xml:space="preserve"> PAGEREF _Toc427402938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617076" w:rsidRDefault="00617076" w:rsidP="00617076">
      <w:pPr>
        <w:pStyle w:val="TOC4"/>
        <w:tabs>
          <w:tab w:val="right" w:leader="dot" w:pos="9350"/>
        </w:tabs>
        <w:rPr>
          <w:rFonts w:asciiTheme="minorHAnsi" w:eastAsiaTheme="minorEastAsia" w:hAnsiTheme="minorHAnsi" w:cstheme="minorBidi"/>
          <w:noProof/>
          <w:szCs w:val="22"/>
        </w:rPr>
      </w:pPr>
      <w:hyperlink w:anchor="_Toc427402939" w:history="1">
        <w:r w:rsidRPr="009E1388">
          <w:rPr>
            <w:rStyle w:val="Hyperlink"/>
            <w:rFonts w:ascii="IRBadr" w:hAnsi="IRBadr" w:cs="IRBadr" w:hint="eastAsia"/>
            <w:noProof/>
            <w:rtl/>
          </w:rPr>
          <w:t>سقوط</w:t>
        </w:r>
        <w:r w:rsidRPr="009E1388">
          <w:rPr>
            <w:rStyle w:val="Hyperlink"/>
            <w:rFonts w:ascii="IRBadr" w:hAnsi="IRBadr" w:cs="IRBadr"/>
            <w:noProof/>
            <w:rtl/>
          </w:rPr>
          <w:t xml:space="preserve"> </w:t>
        </w:r>
        <w:r w:rsidRPr="009E1388">
          <w:rPr>
            <w:rStyle w:val="Hyperlink"/>
            <w:rFonts w:ascii="IRBadr" w:hAnsi="IRBadr" w:cs="IRBadr" w:hint="eastAsia"/>
            <w:noProof/>
            <w:rtl/>
          </w:rPr>
          <w:t>قتل</w:t>
        </w:r>
        <w:r w:rsidRPr="009E1388">
          <w:rPr>
            <w:rStyle w:val="Hyperlink"/>
            <w:rFonts w:ascii="IRBadr" w:hAnsi="IRBadr" w:cs="IRBadr"/>
            <w:noProof/>
            <w:rtl/>
          </w:rPr>
          <w:t xml:space="preserve"> </w:t>
        </w:r>
        <w:r w:rsidRPr="009E1388">
          <w:rPr>
            <w:rStyle w:val="Hyperlink"/>
            <w:rFonts w:ascii="IRBadr" w:hAnsi="IRBadr" w:cs="IRBadr" w:hint="eastAsia"/>
            <w:noProof/>
            <w:rtl/>
          </w:rPr>
          <w:t>با</w:t>
        </w:r>
        <w:r w:rsidRPr="009E1388">
          <w:rPr>
            <w:rStyle w:val="Hyperlink"/>
            <w:rFonts w:ascii="IRBadr" w:hAnsi="IRBadr" w:cs="IRBadr"/>
            <w:noProof/>
            <w:rtl/>
          </w:rPr>
          <w:t xml:space="preserve"> </w:t>
        </w:r>
        <w:r w:rsidRPr="009E1388">
          <w:rPr>
            <w:rStyle w:val="Hyperlink"/>
            <w:rFonts w:ascii="IRBadr" w:hAnsi="IRBadr" w:cs="IRBadr" w:hint="eastAsia"/>
            <w:noProof/>
            <w:rtl/>
          </w:rPr>
          <w:t>توبه</w:t>
        </w:r>
        <w:r>
          <w:rPr>
            <w:noProof/>
            <w:webHidden/>
          </w:rPr>
          <w:tab/>
        </w:r>
        <w:r>
          <w:rPr>
            <w:rStyle w:val="Hyperlink"/>
            <w:noProof/>
            <w:rtl/>
          </w:rPr>
          <w:fldChar w:fldCharType="begin"/>
        </w:r>
        <w:r>
          <w:rPr>
            <w:noProof/>
            <w:webHidden/>
          </w:rPr>
          <w:instrText xml:space="preserve"> PAGEREF _Toc427402939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FC3DF0" w:rsidRPr="00A44237" w:rsidRDefault="00FC3DF0" w:rsidP="00617076">
      <w:pPr>
        <w:bidi/>
        <w:jc w:val="both"/>
        <w:rPr>
          <w:rFonts w:ascii="IRBadr" w:hAnsi="IRBadr" w:cs="IRBadr"/>
          <w:b/>
          <w:bCs/>
          <w:sz w:val="28"/>
          <w:szCs w:val="28"/>
          <w:rtl/>
          <w:lang w:bidi="fa-IR"/>
        </w:rPr>
      </w:pPr>
      <w:r w:rsidRPr="00A44237">
        <w:rPr>
          <w:rFonts w:ascii="IRBadr" w:hAnsi="IRBadr" w:cs="IRBadr"/>
          <w:b/>
          <w:bCs/>
          <w:sz w:val="28"/>
          <w:szCs w:val="28"/>
          <w:rtl/>
          <w:lang w:bidi="fa-IR"/>
        </w:rPr>
        <w:fldChar w:fldCharType="end"/>
      </w:r>
    </w:p>
    <w:p w:rsidR="00FC3DF0" w:rsidRPr="00A44237" w:rsidRDefault="00FC3DF0" w:rsidP="00FC3DF0">
      <w:pPr>
        <w:bidi/>
        <w:spacing w:after="0" w:line="240" w:lineRule="auto"/>
        <w:jc w:val="both"/>
        <w:rPr>
          <w:rFonts w:ascii="IRBadr" w:hAnsi="IRBadr" w:cs="IRBadr"/>
          <w:b/>
          <w:bCs/>
          <w:sz w:val="28"/>
          <w:szCs w:val="28"/>
          <w:rtl/>
          <w:lang w:bidi="fa-IR"/>
        </w:rPr>
      </w:pPr>
      <w:r w:rsidRPr="00A44237">
        <w:rPr>
          <w:rFonts w:ascii="IRBadr" w:hAnsi="IRBadr" w:cs="IRBadr"/>
          <w:b/>
          <w:bCs/>
          <w:sz w:val="28"/>
          <w:szCs w:val="28"/>
          <w:rtl/>
          <w:lang w:bidi="fa-IR"/>
        </w:rPr>
        <w:lastRenderedPageBreak/>
        <w:br w:type="page"/>
      </w:r>
    </w:p>
    <w:p w:rsidR="008A755F" w:rsidRPr="00A44237" w:rsidRDefault="008A755F" w:rsidP="00A44237">
      <w:pPr>
        <w:pStyle w:val="Heading1"/>
        <w:rPr>
          <w:rtl/>
        </w:rPr>
      </w:pPr>
      <w:bookmarkStart w:id="0" w:name="_Toc427402921"/>
      <w:r w:rsidRPr="00A44237">
        <w:rPr>
          <w:rtl/>
        </w:rPr>
        <w:lastRenderedPageBreak/>
        <w:t>سب النبی (ص)</w:t>
      </w:r>
      <w:bookmarkEnd w:id="0"/>
    </w:p>
    <w:p w:rsidR="008A755F" w:rsidRPr="00A44237" w:rsidRDefault="008A755F" w:rsidP="00A44237">
      <w:pPr>
        <w:pStyle w:val="Heading1"/>
        <w:rPr>
          <w:rtl/>
        </w:rPr>
      </w:pPr>
      <w:bookmarkStart w:id="1" w:name="_Toc427402922"/>
      <w:r w:rsidRPr="00A44237">
        <w:rPr>
          <w:rtl/>
        </w:rPr>
        <w:t>مرور بحث سابق</w:t>
      </w:r>
      <w:bookmarkEnd w:id="1"/>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در بحث پیش به این نکته پرداخته شد که آیا اجرای حکم قتل ساب نیازمند اذن حاکم است یا خیر؟</w:t>
      </w:r>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 xml:space="preserve">گفته شد </w:t>
      </w:r>
      <w:r w:rsidR="00EB0902" w:rsidRPr="00A44237">
        <w:rPr>
          <w:rFonts w:ascii="IRBadr" w:hAnsi="IRBadr" w:cs="IRBadr"/>
          <w:sz w:val="28"/>
          <w:szCs w:val="28"/>
          <w:rtl/>
          <w:lang w:bidi="fa-IR"/>
        </w:rPr>
        <w:t>این‌یک</w:t>
      </w:r>
      <w:r w:rsidRPr="00A44237">
        <w:rPr>
          <w:rFonts w:ascii="IRBadr" w:hAnsi="IRBadr" w:cs="IRBadr"/>
          <w:sz w:val="28"/>
          <w:szCs w:val="28"/>
          <w:rtl/>
          <w:lang w:bidi="fa-IR"/>
        </w:rPr>
        <w:t xml:space="preserve"> قاعده کلی است که در حدود نیاز به اذن حاکم است، دلیل آن نیز روایاتی است که در این زمینه </w:t>
      </w:r>
      <w:r w:rsidR="00EB0902" w:rsidRPr="00A44237">
        <w:rPr>
          <w:rFonts w:ascii="IRBadr" w:hAnsi="IRBadr" w:cs="IRBadr"/>
          <w:sz w:val="28"/>
          <w:szCs w:val="28"/>
          <w:rtl/>
          <w:lang w:bidi="fa-IR"/>
        </w:rPr>
        <w:t>واردشده</w:t>
      </w:r>
      <w:r w:rsidRPr="00A44237">
        <w:rPr>
          <w:rFonts w:ascii="IRBadr" w:hAnsi="IRBadr" w:cs="IRBadr"/>
          <w:sz w:val="28"/>
          <w:szCs w:val="28"/>
          <w:rtl/>
          <w:lang w:bidi="fa-IR"/>
        </w:rPr>
        <w:t xml:space="preserve"> است.</w:t>
      </w:r>
    </w:p>
    <w:p w:rsidR="008A755F" w:rsidRPr="00A44237" w:rsidRDefault="008A755F" w:rsidP="00A44237">
      <w:pPr>
        <w:pStyle w:val="Heading1"/>
        <w:rPr>
          <w:rtl/>
        </w:rPr>
      </w:pPr>
      <w:bookmarkStart w:id="2" w:name="_Toc427402923"/>
      <w:r w:rsidRPr="00A44237">
        <w:rPr>
          <w:rtl/>
        </w:rPr>
        <w:t>مستندات بحث</w:t>
      </w:r>
      <w:bookmarkEnd w:id="2"/>
    </w:p>
    <w:p w:rsidR="008A755F" w:rsidRPr="00A44237" w:rsidRDefault="008A755F" w:rsidP="00A44237">
      <w:pPr>
        <w:pStyle w:val="Heading1"/>
        <w:rPr>
          <w:rtl/>
        </w:rPr>
      </w:pPr>
      <w:bookmarkStart w:id="3" w:name="_Toc427402924"/>
      <w:r w:rsidRPr="00A44237">
        <w:rPr>
          <w:rtl/>
        </w:rPr>
        <w:t>روایت اول</w:t>
      </w:r>
      <w:bookmarkEnd w:id="3"/>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 xml:space="preserve">این روایت در کتاب حدود، جلد هیجده، کتاب قضا، ابواب مقدمات حدود، باب بیست و هشتم، صفحه سیصد و </w:t>
      </w:r>
      <w:r w:rsidR="00EB0902" w:rsidRPr="00A44237">
        <w:rPr>
          <w:rFonts w:ascii="IRBadr" w:hAnsi="IRBadr" w:cs="IRBadr"/>
          <w:sz w:val="28"/>
          <w:szCs w:val="28"/>
          <w:rtl/>
          <w:lang w:bidi="fa-IR"/>
        </w:rPr>
        <w:t>سی‌وهشت</w:t>
      </w:r>
      <w:r w:rsidRPr="00A44237">
        <w:rPr>
          <w:rFonts w:ascii="IRBadr" w:hAnsi="IRBadr" w:cs="IRBadr"/>
          <w:sz w:val="28"/>
          <w:szCs w:val="28"/>
          <w:rtl/>
          <w:lang w:bidi="fa-IR"/>
        </w:rPr>
        <w:t xml:space="preserve"> </w:t>
      </w:r>
      <w:r w:rsidR="00EB0902" w:rsidRPr="00A44237">
        <w:rPr>
          <w:rFonts w:ascii="IRBadr" w:hAnsi="IRBadr" w:cs="IRBadr"/>
          <w:sz w:val="28"/>
          <w:szCs w:val="28"/>
          <w:rtl/>
          <w:lang w:bidi="fa-IR"/>
        </w:rPr>
        <w:t>ذکرشده</w:t>
      </w:r>
      <w:r w:rsidRPr="00A44237">
        <w:rPr>
          <w:rFonts w:ascii="IRBadr" w:hAnsi="IRBadr" w:cs="IRBadr"/>
          <w:sz w:val="28"/>
          <w:szCs w:val="28"/>
          <w:rtl/>
          <w:lang w:bidi="fa-IR"/>
        </w:rPr>
        <w:t xml:space="preserve"> است.</w:t>
      </w:r>
    </w:p>
    <w:p w:rsidR="008A755F" w:rsidRPr="00A44237" w:rsidRDefault="008A755F" w:rsidP="00FC3DF0">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A44237">
        <w:rPr>
          <w:rFonts w:ascii="IRBadr" w:eastAsia="Times New Roman" w:hAnsi="IRBadr" w:cs="IRBadr"/>
          <w:b/>
          <w:bCs/>
          <w:color w:val="000000" w:themeColor="text1"/>
          <w:sz w:val="28"/>
          <w:szCs w:val="28"/>
          <w:rtl/>
          <w:lang w:bidi="fa-IR"/>
        </w:rPr>
        <w:t>«عَنْهُ عَنْ عَلِی بْنِ مُحَمَّدٍ عَنِ الْقَاسِمِ بْنِ مُحَمَّدٍ عَنْ سُلَیمَانَ بْنِ دَاوُدَ الْمِنْقَرِی عَنْ حَفْصِ بْنِ غِیاثٍ قَالَ: سَأَلْتُ أَبَا عَبْدِ اللَّهِ ع قُلْتُ مَنْ یقِیمُ الْحُدُودَ السُّلْطَانُ أَوِ الْقَاضِی فَقَالَ إِقَامَةُ الْحُدُودِ إِلَی مَنْ إِلَیهِ الْحُکمُ.»</w:t>
      </w:r>
      <w:r w:rsidRPr="00A44237">
        <w:rPr>
          <w:rFonts w:ascii="IRBadr" w:eastAsia="Times New Roman" w:hAnsi="IRBadr" w:cs="IRBadr"/>
          <w:b/>
          <w:bCs/>
          <w:color w:val="000000" w:themeColor="text1"/>
          <w:sz w:val="28"/>
          <w:szCs w:val="28"/>
          <w:vertAlign w:val="superscript"/>
          <w:rtl/>
          <w:lang w:bidi="fa-IR"/>
        </w:rPr>
        <w:footnoteReference w:id="1"/>
      </w:r>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 xml:space="preserve">«اقامه حدود تنها دست کسی است که حکم در دستان اوست». این </w:t>
      </w:r>
      <w:r w:rsidR="00EB0902" w:rsidRPr="00A44237">
        <w:rPr>
          <w:rFonts w:ascii="IRBadr" w:hAnsi="IRBadr" w:cs="IRBadr"/>
          <w:sz w:val="28"/>
          <w:szCs w:val="28"/>
          <w:rtl/>
          <w:lang w:bidi="fa-IR"/>
        </w:rPr>
        <w:t>قاعده‌ای</w:t>
      </w:r>
      <w:r w:rsidRPr="00A44237">
        <w:rPr>
          <w:rFonts w:ascii="IRBadr" w:hAnsi="IRBadr" w:cs="IRBadr"/>
          <w:sz w:val="28"/>
          <w:szCs w:val="28"/>
          <w:rtl/>
          <w:lang w:bidi="fa-IR"/>
        </w:rPr>
        <w:t xml:space="preserve"> است که از این روایت به دست می‌آید.</w:t>
      </w:r>
    </w:p>
    <w:p w:rsidR="008A755F" w:rsidRPr="00A44237" w:rsidRDefault="008A755F" w:rsidP="00A44237">
      <w:pPr>
        <w:pStyle w:val="Heading1"/>
        <w:rPr>
          <w:rtl/>
        </w:rPr>
      </w:pPr>
      <w:bookmarkStart w:id="4" w:name="_Toc427402925"/>
      <w:r w:rsidRPr="00A44237">
        <w:rPr>
          <w:rtl/>
        </w:rPr>
        <w:t>روایت دوم</w:t>
      </w:r>
      <w:bookmarkEnd w:id="4"/>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روایت دیگری را مرحوم مفید در مقنعه نقل کرده است؛</w:t>
      </w:r>
    </w:p>
    <w:p w:rsidR="008A755F" w:rsidRPr="00A44237" w:rsidRDefault="008A755F" w:rsidP="00FC3DF0">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A44237">
        <w:rPr>
          <w:rFonts w:ascii="IRBadr" w:eastAsia="Times New Roman" w:hAnsi="IRBadr" w:cs="IRBadr"/>
          <w:b/>
          <w:bCs/>
          <w:color w:val="000000" w:themeColor="text1"/>
          <w:sz w:val="28"/>
          <w:szCs w:val="28"/>
          <w:rtl/>
          <w:lang w:bidi="fa-IR"/>
        </w:rPr>
        <w:t xml:space="preserve">«فَأَمَّا إِقَامَةُ الْحُدُودِ فَهُوَ إِلَی سُلْطَانِ الْإِسْلَامِ- الْمَنْصُوبِ مِنْ قِبَلِ اللَّهِ- وَ هُمْ أَئِمَّةُ الْهُدَی مِنْ آلِ مُحَمَّدٍ ع- وَ مَنْ نَصَبُوهُ لِذَلِک مِنَ الْأُمَرَاءِ وَ الْحُکامِ- وَ قَدْ فَوَّضُوا النَّظَرَ فِیهِ إِلَی فُقَهَاءِ شِیعَتِهِمْ مَعَ الْإِمْکانِ.» </w:t>
      </w:r>
      <w:r w:rsidRPr="00A44237">
        <w:rPr>
          <w:rFonts w:ascii="IRBadr" w:eastAsia="Times New Roman" w:hAnsi="IRBadr" w:cs="IRBadr"/>
          <w:b/>
          <w:bCs/>
          <w:color w:val="000000" w:themeColor="text1"/>
          <w:sz w:val="28"/>
          <w:szCs w:val="28"/>
          <w:vertAlign w:val="superscript"/>
          <w:rtl/>
          <w:lang w:bidi="fa-IR"/>
        </w:rPr>
        <w:footnoteReference w:id="2"/>
      </w:r>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lastRenderedPageBreak/>
        <w:t xml:space="preserve">علاوه بر دو روایت </w:t>
      </w:r>
      <w:r w:rsidR="00EB0902" w:rsidRPr="00A44237">
        <w:rPr>
          <w:rFonts w:ascii="IRBadr" w:hAnsi="IRBadr" w:cs="IRBadr"/>
          <w:sz w:val="28"/>
          <w:szCs w:val="28"/>
          <w:rtl/>
          <w:lang w:bidi="fa-IR"/>
        </w:rPr>
        <w:t>بیان‌شده</w:t>
      </w:r>
      <w:r w:rsidRPr="00A44237">
        <w:rPr>
          <w:rFonts w:ascii="IRBadr" w:hAnsi="IRBadr" w:cs="IRBadr"/>
          <w:sz w:val="28"/>
          <w:szCs w:val="28"/>
          <w:rtl/>
          <w:lang w:bidi="fa-IR"/>
        </w:rPr>
        <w:t xml:space="preserve"> سیره </w:t>
      </w:r>
      <w:r w:rsidR="00617076">
        <w:rPr>
          <w:rFonts w:ascii="IRBadr" w:hAnsi="IRBadr" w:cs="IRBadr"/>
          <w:sz w:val="28"/>
          <w:szCs w:val="28"/>
          <w:rtl/>
          <w:lang w:bidi="fa-IR"/>
        </w:rPr>
        <w:t>عقلا</w:t>
      </w:r>
      <w:r w:rsidRPr="00A44237">
        <w:rPr>
          <w:rFonts w:ascii="IRBadr" w:hAnsi="IRBadr" w:cs="IRBadr"/>
          <w:sz w:val="28"/>
          <w:szCs w:val="28"/>
          <w:rtl/>
          <w:lang w:bidi="fa-IR"/>
        </w:rPr>
        <w:t xml:space="preserve"> نیز بر همین امر دلالت دارد. </w:t>
      </w:r>
      <w:r w:rsidR="00EB0902" w:rsidRPr="00A44237">
        <w:rPr>
          <w:rFonts w:ascii="IRBadr" w:hAnsi="IRBadr" w:cs="IRBadr"/>
          <w:sz w:val="28"/>
          <w:szCs w:val="28"/>
          <w:rtl/>
          <w:lang w:bidi="fa-IR"/>
        </w:rPr>
        <w:t>این‌یک</w:t>
      </w:r>
      <w:r w:rsidRPr="00A44237">
        <w:rPr>
          <w:rFonts w:ascii="IRBadr" w:hAnsi="IRBadr" w:cs="IRBadr"/>
          <w:sz w:val="28"/>
          <w:szCs w:val="28"/>
          <w:rtl/>
          <w:lang w:bidi="fa-IR"/>
        </w:rPr>
        <w:t xml:space="preserve"> قاعده است و موارد استثناء شده از آن بسیار محدود است. یکی از موارد استثناء شده ساب النبی (ص) است، دلیل استثنای آن نیز از روایاتی که بیان شد استفاده می‌شود.</w:t>
      </w:r>
    </w:p>
    <w:p w:rsidR="008A755F" w:rsidRPr="00A44237" w:rsidRDefault="008A755F" w:rsidP="00A44237">
      <w:pPr>
        <w:pStyle w:val="Heading1"/>
        <w:rPr>
          <w:rtl/>
        </w:rPr>
      </w:pPr>
      <w:bookmarkStart w:id="5" w:name="_Toc427402926"/>
      <w:r w:rsidRPr="00A44237">
        <w:rPr>
          <w:rtl/>
        </w:rPr>
        <w:t>مستند حکم فوق</w:t>
      </w:r>
      <w:bookmarkEnd w:id="5"/>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یکی از آن مستندات روایت هشام در باب هفتم از ابواب حد مرتد است، روایت معتبره ای که در آن فرموده شده است؛</w:t>
      </w:r>
    </w:p>
    <w:p w:rsidR="008A755F" w:rsidRPr="00A44237" w:rsidRDefault="008A755F" w:rsidP="00FC3DF0">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A44237">
        <w:rPr>
          <w:rFonts w:ascii="IRBadr" w:eastAsia="Times New Roman" w:hAnsi="IRBadr" w:cs="IRBadr"/>
          <w:b/>
          <w:bCs/>
          <w:color w:val="000000" w:themeColor="text1"/>
          <w:sz w:val="28"/>
          <w:szCs w:val="28"/>
          <w:rtl/>
          <w:lang w:bidi="fa-IR"/>
        </w:rPr>
        <w:t xml:space="preserve">«عَلِی بْنُ إِبْرَاهِیمَ عَنْ أَبِیهِ عَنِ ابْنِ أَبِی عُمَیرٍ عَنْ هِشَامِ بْنِ سَالِمٍ عَنْ أَبِی عَبْدِ اللَّهِ ع أَنَّهُ سَأَلَ عَمَّنْ شَتَمَ رَسُولَ اللَّهِ ص فَقَالَ یقْتُلُهُ الْأَدْنَی فَالْأَدْنَی قَبْلَ أَنْ یرْفَعَهُ إِلَی الْإِمَامِ.» </w:t>
      </w:r>
      <w:r w:rsidRPr="00A44237">
        <w:rPr>
          <w:rFonts w:ascii="IRBadr" w:eastAsia="Times New Roman" w:hAnsi="IRBadr" w:cs="IRBadr"/>
          <w:b/>
          <w:bCs/>
          <w:color w:val="000000" w:themeColor="text1"/>
          <w:sz w:val="28"/>
          <w:szCs w:val="28"/>
          <w:vertAlign w:val="superscript"/>
          <w:rtl/>
          <w:lang w:bidi="fa-IR"/>
        </w:rPr>
        <w:footnoteReference w:id="3"/>
      </w:r>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 xml:space="preserve">هر که نزدیک‌تر است، اهتمام به این قتل می‌کند، قبل از اینکه امر به امام ارجاع داده شود. لذا این روایت نسبت </w:t>
      </w:r>
      <w:r w:rsidR="00EB0902" w:rsidRPr="00A44237">
        <w:rPr>
          <w:rFonts w:ascii="IRBadr" w:hAnsi="IRBadr" w:cs="IRBadr"/>
          <w:sz w:val="28"/>
          <w:szCs w:val="28"/>
          <w:rtl/>
          <w:lang w:bidi="fa-IR"/>
        </w:rPr>
        <w:t>به‌قاعده</w:t>
      </w:r>
      <w:r w:rsidRPr="00A44237">
        <w:rPr>
          <w:rFonts w:ascii="IRBadr" w:hAnsi="IRBadr" w:cs="IRBadr"/>
          <w:sz w:val="28"/>
          <w:szCs w:val="28"/>
          <w:rtl/>
          <w:lang w:bidi="fa-IR"/>
        </w:rPr>
        <w:t xml:space="preserve"> فوق از قبیل خاص و مقید می‌شود. عمده فقها به همین فتوا داده‌اند، الا مرحوم مفید </w:t>
      </w:r>
      <w:r w:rsidR="00EB0902" w:rsidRPr="00A44237">
        <w:rPr>
          <w:rFonts w:ascii="IRBadr" w:hAnsi="IRBadr" w:cs="IRBadr"/>
          <w:sz w:val="28"/>
          <w:szCs w:val="28"/>
          <w:rtl/>
          <w:lang w:bidi="fa-IR"/>
        </w:rPr>
        <w:t>رضوان‌الله</w:t>
      </w:r>
      <w:r w:rsidRPr="00A44237">
        <w:rPr>
          <w:rFonts w:ascii="IRBadr" w:hAnsi="IRBadr" w:cs="IRBadr"/>
          <w:sz w:val="28"/>
          <w:szCs w:val="28"/>
          <w:rtl/>
          <w:lang w:bidi="fa-IR"/>
        </w:rPr>
        <w:t xml:space="preserve"> علیه و مرحوم علامه </w:t>
      </w:r>
      <w:r w:rsidR="00EB0902" w:rsidRPr="00A44237">
        <w:rPr>
          <w:rFonts w:ascii="IRBadr" w:hAnsi="IRBadr" w:cs="IRBadr"/>
          <w:sz w:val="28"/>
          <w:szCs w:val="28"/>
          <w:rtl/>
          <w:lang w:bidi="fa-IR"/>
        </w:rPr>
        <w:t>دریکی</w:t>
      </w:r>
      <w:r w:rsidRPr="00A44237">
        <w:rPr>
          <w:rFonts w:ascii="IRBadr" w:hAnsi="IRBadr" w:cs="IRBadr"/>
          <w:sz w:val="28"/>
          <w:szCs w:val="28"/>
          <w:rtl/>
          <w:lang w:bidi="fa-IR"/>
        </w:rPr>
        <w:t xml:space="preserve"> از این اقوال ایشان که در کتاب‌هایش </w:t>
      </w:r>
      <w:r w:rsidR="00EB0902" w:rsidRPr="00A44237">
        <w:rPr>
          <w:rFonts w:ascii="IRBadr" w:hAnsi="IRBadr" w:cs="IRBadr"/>
          <w:sz w:val="28"/>
          <w:szCs w:val="28"/>
          <w:rtl/>
          <w:lang w:bidi="fa-IR"/>
        </w:rPr>
        <w:t>باهم</w:t>
      </w:r>
      <w:r w:rsidRPr="00A44237">
        <w:rPr>
          <w:rFonts w:ascii="IRBadr" w:hAnsi="IRBadr" w:cs="IRBadr"/>
          <w:sz w:val="28"/>
          <w:szCs w:val="28"/>
          <w:rtl/>
          <w:lang w:bidi="fa-IR"/>
        </w:rPr>
        <w:t xml:space="preserve"> متفاوت است. این دو بزرگوار احتمال دادند یا حتی می‌توانیم بگوییم ترجیح دادند که نیاز به اذن امام دارد.</w:t>
      </w:r>
    </w:p>
    <w:p w:rsidR="008A755F" w:rsidRPr="00A44237" w:rsidRDefault="008A755F" w:rsidP="00A44237">
      <w:pPr>
        <w:pStyle w:val="Heading2"/>
        <w:rPr>
          <w:rtl/>
        </w:rPr>
      </w:pPr>
      <w:bookmarkStart w:id="6" w:name="_Toc427402927"/>
      <w:r w:rsidRPr="00A44237">
        <w:rPr>
          <w:rtl/>
        </w:rPr>
        <w:t>دلیل قول به اذن</w:t>
      </w:r>
      <w:bookmarkEnd w:id="6"/>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دلیلی که برای این قول نادر ذکر کرده‌اند این است که؛ بحث ساب در ذیل حد است و حد نیز نیاز به اذن دارد. این امری بود که پاسخ از آن روشن شد چراکه این مقام طبق دلیل خاصی که وجود دارد مخصصی برای آن قاعده کلیه است.</w:t>
      </w:r>
    </w:p>
    <w:p w:rsidR="008A755F" w:rsidRPr="00A44237" w:rsidRDefault="008A755F" w:rsidP="00A44237">
      <w:pPr>
        <w:pStyle w:val="Heading2"/>
        <w:rPr>
          <w:rtl/>
        </w:rPr>
      </w:pPr>
      <w:bookmarkStart w:id="7" w:name="_Toc427402928"/>
      <w:r w:rsidRPr="00A44237">
        <w:rPr>
          <w:rtl/>
        </w:rPr>
        <w:t>دلیل دوم قول فوق</w:t>
      </w:r>
      <w:bookmarkEnd w:id="7"/>
    </w:p>
    <w:p w:rsidR="008A755F" w:rsidRPr="00A44237" w:rsidRDefault="008A755F" w:rsidP="00A44237">
      <w:pPr>
        <w:pStyle w:val="Heading2"/>
        <w:rPr>
          <w:rtl/>
        </w:rPr>
      </w:pPr>
      <w:bookmarkStart w:id="8" w:name="_Toc427402929"/>
      <w:r w:rsidRPr="00A44237">
        <w:rPr>
          <w:rtl/>
        </w:rPr>
        <w:t>روایت اول</w:t>
      </w:r>
      <w:bookmarkEnd w:id="8"/>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 xml:space="preserve">علاوه بر آن به روایت دیگری تمسک کرده‌اند که در جلد نوزده وسائل، ابواب دیات نفس، باب بیست و دوم، حدیث دوم </w:t>
      </w:r>
      <w:r w:rsidR="00EB0902" w:rsidRPr="00A44237">
        <w:rPr>
          <w:rFonts w:ascii="IRBadr" w:hAnsi="IRBadr" w:cs="IRBadr"/>
          <w:sz w:val="28"/>
          <w:szCs w:val="28"/>
          <w:rtl/>
          <w:lang w:bidi="fa-IR"/>
        </w:rPr>
        <w:t>ذکرشده</w:t>
      </w:r>
      <w:r w:rsidRPr="00A44237">
        <w:rPr>
          <w:rFonts w:ascii="IRBadr" w:hAnsi="IRBadr" w:cs="IRBadr"/>
          <w:sz w:val="28"/>
          <w:szCs w:val="28"/>
          <w:rtl/>
          <w:lang w:bidi="fa-IR"/>
        </w:rPr>
        <w:t xml:space="preserve"> است. روایت مرفوعه است.</w:t>
      </w:r>
    </w:p>
    <w:p w:rsidR="008A755F" w:rsidRPr="00A44237" w:rsidRDefault="008A755F" w:rsidP="00FC3DF0">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A44237">
        <w:rPr>
          <w:rFonts w:ascii="IRBadr" w:eastAsia="Times New Roman" w:hAnsi="IRBadr" w:cs="IRBadr"/>
          <w:b/>
          <w:bCs/>
          <w:color w:val="000000" w:themeColor="text1"/>
          <w:sz w:val="28"/>
          <w:szCs w:val="28"/>
          <w:rtl/>
          <w:lang w:bidi="fa-IR"/>
        </w:rPr>
        <w:lastRenderedPageBreak/>
        <w:t xml:space="preserve">«عَلِی بْنُ إِبْرَاهِیمَ عَنْ أَبِیهِ عَنِ ابْنِ مَحْبُوبٍ عَنْ رَجُلٍ مِنْ أَصْحَابِنَا عَنْ أَبِی الصَّبَّاحِ الْکنَانِی قَالَ: قُلْتُ لِأَبِی عَبْدِ اللَّهِ ع إِنَّ لَنَا جَاراً مِنْ هَمْدَانَ یقَالُ لَهُ الْجَعْدُ بْنُ عَبْدِ اللَّهِ وَ هُوَ یجْلِسُ إِلَینَا فَنَذْکرُ عَلِیاً </w:t>
      </w:r>
      <w:r w:rsidR="00617076">
        <w:rPr>
          <w:rFonts w:ascii="IRBadr" w:eastAsia="Times New Roman" w:hAnsi="IRBadr" w:cs="IRBadr"/>
          <w:b/>
          <w:bCs/>
          <w:color w:val="000000" w:themeColor="text1"/>
          <w:sz w:val="28"/>
          <w:szCs w:val="28"/>
          <w:rtl/>
          <w:lang w:bidi="fa-IR"/>
        </w:rPr>
        <w:t>امیرالمؤمنین</w:t>
      </w:r>
      <w:r w:rsidRPr="00A44237">
        <w:rPr>
          <w:rFonts w:ascii="IRBadr" w:eastAsia="Times New Roman" w:hAnsi="IRBadr" w:cs="IRBadr"/>
          <w:b/>
          <w:bCs/>
          <w:color w:val="000000" w:themeColor="text1"/>
          <w:sz w:val="28"/>
          <w:szCs w:val="28"/>
          <w:rtl/>
          <w:lang w:bidi="fa-IR"/>
        </w:rPr>
        <w:t xml:space="preserve"> ع وَ فَضْلَهُ فَیقَعُ فِیهِ أَ فَتَأْذَنُ لِی فِیهِ فَقَالَ لِی یا أَبَا الصَّبَّاحِ أَ فَکنْتَ فَاعِلًا فَقُلْتُ إِی وَ اللَّهِ لَئِنْ أَذِنْتَ لِی فِیهِ لَأَرْصُدَنَّهُ فَإِذَا صَارَ فی‌ها اقْتَحَمْتُ عَلَیهِ بِسَیفِی فَخَبَطْتُهُ حَتَّی أَقْتُلَهُ قَالَ فَقَالَ یا أَبَا الصَّبَّاحِ هَذَا الْفَتْک وَ قَدْ نَهَی رَسُولُ اللَّهِ ص عَنِ الْفَتْک یا أَبَا الصَّبَّاحِ إِنَّ الْإِسْلَامَ قَیدَ الْفَتْک وَ لَکنْ دَعْهُ فَسَتُکفَی.»</w:t>
      </w:r>
      <w:r w:rsidRPr="00A44237">
        <w:rPr>
          <w:rFonts w:ascii="IRBadr" w:eastAsia="Times New Roman" w:hAnsi="IRBadr" w:cs="IRBadr"/>
          <w:b/>
          <w:bCs/>
          <w:color w:val="000000" w:themeColor="text1"/>
          <w:sz w:val="28"/>
          <w:szCs w:val="28"/>
          <w:vertAlign w:val="superscript"/>
          <w:rtl/>
          <w:lang w:bidi="fa-IR"/>
        </w:rPr>
        <w:footnoteReference w:id="4"/>
      </w:r>
    </w:p>
    <w:p w:rsidR="008A755F" w:rsidRPr="00A44237" w:rsidRDefault="008A755F" w:rsidP="00FC3DF0">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A44237">
        <w:rPr>
          <w:rFonts w:ascii="IRBadr" w:eastAsia="Times New Roman" w:hAnsi="IRBadr" w:cs="IRBadr"/>
          <w:sz w:val="28"/>
          <w:szCs w:val="28"/>
          <w:rtl/>
          <w:lang w:bidi="fa-IR"/>
        </w:rPr>
        <w:t xml:space="preserve">ابی الصباح می‌گوید به امام صادق (ع) عرض کردم، ما </w:t>
      </w:r>
      <w:r w:rsidR="00EB0902" w:rsidRPr="00A44237">
        <w:rPr>
          <w:rFonts w:ascii="IRBadr" w:eastAsia="Times New Roman" w:hAnsi="IRBadr" w:cs="IRBadr"/>
          <w:sz w:val="28"/>
          <w:szCs w:val="28"/>
          <w:rtl/>
          <w:lang w:bidi="fa-IR"/>
        </w:rPr>
        <w:t>همسایه‌ای</w:t>
      </w:r>
      <w:r w:rsidRPr="00A44237">
        <w:rPr>
          <w:rFonts w:ascii="IRBadr" w:eastAsia="Times New Roman" w:hAnsi="IRBadr" w:cs="IRBadr"/>
          <w:sz w:val="28"/>
          <w:szCs w:val="28"/>
          <w:rtl/>
          <w:lang w:bidi="fa-IR"/>
        </w:rPr>
        <w:t xml:space="preserve"> داریم، نام </w:t>
      </w:r>
      <w:r w:rsidR="00617076">
        <w:rPr>
          <w:rFonts w:ascii="IRBadr" w:eastAsia="Times New Roman" w:hAnsi="IRBadr" w:cs="IRBadr"/>
          <w:sz w:val="28"/>
          <w:szCs w:val="28"/>
          <w:rtl/>
          <w:lang w:bidi="fa-IR"/>
        </w:rPr>
        <w:t>امیرالمؤمنین</w:t>
      </w:r>
      <w:r w:rsidRPr="00A44237">
        <w:rPr>
          <w:rFonts w:ascii="IRBadr" w:eastAsia="Times New Roman" w:hAnsi="IRBadr" w:cs="IRBadr"/>
          <w:sz w:val="28"/>
          <w:szCs w:val="28"/>
          <w:rtl/>
          <w:lang w:bidi="fa-IR"/>
        </w:rPr>
        <w:t xml:space="preserve"> (ع) که می‌بریم او بدگویی می‌کند، حضرت می‌فرماید، تو اهل این هستی که او را بکشی؟ اگر اجازه بدهید کمین می‌کنم و در موقعیتی او را بکشم.</w:t>
      </w:r>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برخی بدین روایت استشهاد کرده‌اند که بدون اذن امام نباید کشت.</w:t>
      </w:r>
    </w:p>
    <w:p w:rsidR="008A755F" w:rsidRPr="00A44237" w:rsidRDefault="008A755F" w:rsidP="00A44237">
      <w:pPr>
        <w:pStyle w:val="Heading2"/>
        <w:rPr>
          <w:rtl/>
        </w:rPr>
      </w:pPr>
      <w:bookmarkStart w:id="9" w:name="_Toc427402930"/>
      <w:r w:rsidRPr="00A44237">
        <w:rPr>
          <w:rtl/>
        </w:rPr>
        <w:t>اتخاذ مبنا</w:t>
      </w:r>
      <w:bookmarkEnd w:id="9"/>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 xml:space="preserve">در جواب استشهاد صورت گرفته می‌توان گفت که؛ روایت فوق سندی ضعیف دارد، ظاهر آن نیز در موردی است که خود شخص </w:t>
      </w:r>
      <w:r w:rsidR="00EB0902" w:rsidRPr="00A44237">
        <w:rPr>
          <w:rFonts w:ascii="IRBadr" w:hAnsi="IRBadr" w:cs="IRBadr"/>
          <w:sz w:val="28"/>
          <w:szCs w:val="28"/>
          <w:rtl/>
          <w:lang w:bidi="fa-IR"/>
        </w:rPr>
        <w:t>درخطر</w:t>
      </w:r>
      <w:r w:rsidRPr="00A44237">
        <w:rPr>
          <w:rFonts w:ascii="IRBadr" w:hAnsi="IRBadr" w:cs="IRBadr"/>
          <w:sz w:val="28"/>
          <w:szCs w:val="28"/>
          <w:rtl/>
          <w:lang w:bidi="fa-IR"/>
        </w:rPr>
        <w:t xml:space="preserve"> قرار می‌گرفته است.</w:t>
      </w:r>
    </w:p>
    <w:p w:rsidR="008A755F" w:rsidRPr="00A44237" w:rsidRDefault="008A755F" w:rsidP="00A44237">
      <w:pPr>
        <w:pStyle w:val="Heading2"/>
        <w:rPr>
          <w:rtl/>
        </w:rPr>
      </w:pPr>
      <w:bookmarkStart w:id="10" w:name="_Toc427402931"/>
      <w:r w:rsidRPr="00A44237">
        <w:rPr>
          <w:rtl/>
        </w:rPr>
        <w:t>روایت دوم</w:t>
      </w:r>
      <w:bookmarkEnd w:id="10"/>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 xml:space="preserve">روایت دومی که برای احتیاج اذن، به آن تمسک شده است، روایت دوم باب </w:t>
      </w:r>
      <w:r w:rsidR="00EB0902" w:rsidRPr="00A44237">
        <w:rPr>
          <w:rFonts w:ascii="IRBadr" w:hAnsi="IRBadr" w:cs="IRBadr"/>
          <w:sz w:val="28"/>
          <w:szCs w:val="28"/>
          <w:rtl/>
          <w:lang w:bidi="fa-IR"/>
        </w:rPr>
        <w:t>بیست‌ودو</w:t>
      </w:r>
      <w:r w:rsidRPr="00A44237">
        <w:rPr>
          <w:rFonts w:ascii="IRBadr" w:hAnsi="IRBadr" w:cs="IRBadr"/>
          <w:sz w:val="28"/>
          <w:szCs w:val="28"/>
          <w:rtl/>
          <w:lang w:bidi="fa-IR"/>
        </w:rPr>
        <w:t xml:space="preserve"> از ابواب دیات نفس است؛ این حدیث از ناحیه عمار سجستانی ضعیف است، و وثاقت آن ثابت نشده است.</w:t>
      </w:r>
    </w:p>
    <w:p w:rsidR="008A755F" w:rsidRPr="00A44237" w:rsidRDefault="008A755F" w:rsidP="00FC3DF0">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A44237">
        <w:rPr>
          <w:rFonts w:ascii="IRBadr" w:eastAsia="Times New Roman" w:hAnsi="IRBadr" w:cs="IRBadr"/>
          <w:b/>
          <w:bCs/>
          <w:color w:val="000000" w:themeColor="text1"/>
          <w:sz w:val="28"/>
          <w:szCs w:val="28"/>
          <w:rtl/>
          <w:lang w:bidi="fa-IR"/>
        </w:rPr>
        <w:t xml:space="preserve">«مُحَمَّدُ بْنُ عُمَرَ بْنِ عَبْدِ الْعَزِیزِ الْکشِّی فِی کتَابِ الرِّجَالِ عَنْ مُحَمَّدِ بْنِ الْحَسَنِ عَنِ الْحَسَنِ بْنِ خُرَّزَاذَ عَنْ مُوسَی بْنِ الْقَاسِمِ عَنْ إِبْرَاهِیمَ بْنِ أَبِی الْبِلَادِ عَنْ عَمَّارٍ السِّجِسْتَانِی عَنْ أَبِی عَبْدِ اللَّهِ ع أَنَّ عَبْدَ اللَّهِ بْنَ النَّجَاشِی قَالَ لَهُ وَ عَمَّارٌ حَاضِرٌ- إِنِّی قَتَلْتُ ثَلَاثَةَ عَشَرَ رَجُلًا مِنَ الْخَوَارِجِ- کلُّهُمْ سَمِعْتُهُ یبْرَأُ مِنْ عَلِی بْنِ أَبِی طَالِبٍ ع- فَسَأَلْتُ عَبْدَ اللَّهِ بْنَ الْحَسَنِ فَلَمْ یکنْ عِنْدَهُ جَوَابٌ- وَ عَظُمَ عَلَیهِ وَ قَالَ أَنْتَ مَأْخُوذٌ فِی الدُّنْیا وَ الْآخِرَةِ- فَقَالَ أَبُو عَبْدِ اللَّهِ ع وَ کیفَ قَتَلْتَهُمْ یا أَبَا بُحَیرٍ- فَقَالَ مِنْهُمْ مَنْ کنْتُ أَصْعَدُ سَطْحَهُ بِسُلَّمٍ حَتَّی أَقْتُلَهُ- وَ مِنْهُمْ مَنْ دَعَوْتُهُ بِاللَّیلِ عَلَی بَابِهِ فَإِذَا خَرَجَ قَتَلْتُهُ- وَ مِنْهُمْ مَنْ کنْتُ </w:t>
      </w:r>
      <w:r w:rsidRPr="00A44237">
        <w:rPr>
          <w:rFonts w:ascii="IRBadr" w:eastAsia="Times New Roman" w:hAnsi="IRBadr" w:cs="IRBadr"/>
          <w:b/>
          <w:bCs/>
          <w:color w:val="000000" w:themeColor="text1"/>
          <w:sz w:val="28"/>
          <w:szCs w:val="28"/>
          <w:rtl/>
          <w:lang w:bidi="fa-IR"/>
        </w:rPr>
        <w:lastRenderedPageBreak/>
        <w:t xml:space="preserve">أَصْحَبُهُ فِی الطَّرِیقِ فَإِذَا خلأ لِی قَتَلْتُهُ- وَ قَدِ اسْتَتَرَ ذَلِک عَلَی فَقَالَ أَبُو عَبْدِ اللَّهِ ع- لَوْ کنْتَ قَتَلْتَهُمْ بِأَمْرِ الْإِمَامِ- لَمْ یکنْ عَلَیک شَی‌ءٌ فِی قَتْلِهِمْ- وَ لَکنَّک سَبَقْتَ الْإِمَامَ فَعَلَیک ثَلَاثَ عَشْرَةَ شَاةً- تَذْبَحُهَا بِمِنًی وَ تَتَصَدَّقُ بِلَحْمِهَا لِسَبْقِک الْإِمَامَ- وَ لَیسَ عَلَیک غَیرُ ذَلِک.» </w:t>
      </w:r>
      <w:r w:rsidRPr="00A44237">
        <w:rPr>
          <w:rFonts w:ascii="IRBadr" w:eastAsia="Times New Roman" w:hAnsi="IRBadr" w:cs="IRBadr"/>
          <w:b/>
          <w:bCs/>
          <w:color w:val="000000" w:themeColor="text1"/>
          <w:sz w:val="28"/>
          <w:szCs w:val="28"/>
          <w:vertAlign w:val="superscript"/>
          <w:rtl/>
          <w:lang w:bidi="fa-IR"/>
        </w:rPr>
        <w:footnoteReference w:id="5"/>
      </w:r>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راوی خطاب به امام می‌گوید من سیزده سال است که تبری جویان نسبت به امیرالمؤمنین را کشته‌ام.حضرت جواب می‌دهند که اگر با امر امام بود، چیزی بر تو نبود. ولی تو از امام پیشی گرفتی، سیزده گوسفند را در منی باید کفاره بدهی.</w:t>
      </w:r>
    </w:p>
    <w:p w:rsidR="008A755F" w:rsidRPr="00A44237" w:rsidRDefault="008A755F" w:rsidP="00A44237">
      <w:pPr>
        <w:pStyle w:val="Heading2"/>
        <w:rPr>
          <w:rtl/>
        </w:rPr>
      </w:pPr>
      <w:bookmarkStart w:id="11" w:name="_Toc427402932"/>
      <w:r w:rsidRPr="00A44237">
        <w:rPr>
          <w:rtl/>
        </w:rPr>
        <w:t>اتخاذ مبنا</w:t>
      </w:r>
      <w:bookmarkEnd w:id="11"/>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 xml:space="preserve"> ظاهر روایت این است که لزوم اذن از جهت حکم تکلیفی بوده است نه وضعی، یعنی </w:t>
      </w:r>
      <w:r w:rsidR="00EB0902" w:rsidRPr="00A44237">
        <w:rPr>
          <w:rFonts w:ascii="IRBadr" w:hAnsi="IRBadr" w:cs="IRBadr"/>
          <w:sz w:val="28"/>
          <w:szCs w:val="28"/>
          <w:rtl/>
          <w:lang w:bidi="fa-IR"/>
        </w:rPr>
        <w:t>این‌گونه</w:t>
      </w:r>
      <w:r w:rsidRPr="00A44237">
        <w:rPr>
          <w:rFonts w:ascii="IRBadr" w:hAnsi="IRBadr" w:cs="IRBadr"/>
          <w:sz w:val="28"/>
          <w:szCs w:val="28"/>
          <w:rtl/>
          <w:lang w:bidi="fa-IR"/>
        </w:rPr>
        <w:t xml:space="preserve"> نیست که امام او را به خاطر عدم اذن قصاص کنند. علاوه بر اینکه سند روایت نیز ضعیف است و این نوع از حکم‌ها حمل بر استحباب می‌شود. هرچند اگر سندش هم تام بود با روایات کثیره دیگر تعارض می‌کرد و مرجحات در </w:t>
      </w:r>
      <w:r w:rsidR="00EB0902" w:rsidRPr="00A44237">
        <w:rPr>
          <w:rFonts w:ascii="IRBadr" w:hAnsi="IRBadr" w:cs="IRBadr"/>
          <w:sz w:val="28"/>
          <w:szCs w:val="28"/>
          <w:rtl/>
          <w:lang w:bidi="fa-IR"/>
        </w:rPr>
        <w:t>آن‌طرف</w:t>
      </w:r>
      <w:r w:rsidRPr="00A44237">
        <w:rPr>
          <w:rFonts w:ascii="IRBadr" w:hAnsi="IRBadr" w:cs="IRBadr"/>
          <w:sz w:val="28"/>
          <w:szCs w:val="28"/>
          <w:rtl/>
          <w:lang w:bidi="fa-IR"/>
        </w:rPr>
        <w:t xml:space="preserve"> بودند.</w:t>
      </w:r>
    </w:p>
    <w:p w:rsidR="008A755F" w:rsidRPr="00A44237" w:rsidRDefault="008A755F" w:rsidP="00A44237">
      <w:pPr>
        <w:pStyle w:val="Heading3"/>
        <w:rPr>
          <w:rtl/>
        </w:rPr>
      </w:pPr>
      <w:bookmarkStart w:id="12" w:name="_Toc427402933"/>
      <w:r w:rsidRPr="00A44237">
        <w:rPr>
          <w:rtl/>
        </w:rPr>
        <w:t>مراد از سب</w:t>
      </w:r>
      <w:bookmarkEnd w:id="12"/>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بحثی در اینجا وجود دارد که مراد از سب چیست؟</w:t>
      </w:r>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 xml:space="preserve">گفته شد برای بدگویی مراتبی وجود دارد، در تعریف سب، معمولاً لغات چیز خاصی را </w:t>
      </w:r>
      <w:r w:rsidR="00617076">
        <w:rPr>
          <w:rFonts w:ascii="IRBadr" w:hAnsi="IRBadr" w:cs="IRBadr"/>
          <w:sz w:val="28"/>
          <w:szCs w:val="28"/>
          <w:rtl/>
          <w:lang w:bidi="fa-IR"/>
        </w:rPr>
        <w:t>ارائه</w:t>
      </w:r>
      <w:r w:rsidRPr="00A44237">
        <w:rPr>
          <w:rFonts w:ascii="IRBadr" w:hAnsi="IRBadr" w:cs="IRBadr"/>
          <w:sz w:val="28"/>
          <w:szCs w:val="28"/>
          <w:rtl/>
          <w:lang w:bidi="fa-IR"/>
        </w:rPr>
        <w:t xml:space="preserve"> نمی‌دهند، برخی عقیده دارند سب همان شتم فجیع است. </w:t>
      </w:r>
      <w:r w:rsidR="00EB0902" w:rsidRPr="00A44237">
        <w:rPr>
          <w:rFonts w:ascii="IRBadr" w:hAnsi="IRBadr" w:cs="IRBadr"/>
          <w:sz w:val="28"/>
          <w:szCs w:val="28"/>
          <w:rtl/>
          <w:lang w:bidi="fa-IR"/>
        </w:rPr>
        <w:t>بنابراین</w:t>
      </w:r>
      <w:r w:rsidRPr="00A44237">
        <w:rPr>
          <w:rFonts w:ascii="IRBadr" w:hAnsi="IRBadr" w:cs="IRBadr"/>
          <w:sz w:val="28"/>
          <w:szCs w:val="28"/>
          <w:rtl/>
          <w:lang w:bidi="fa-IR"/>
        </w:rPr>
        <w:t xml:space="preserve"> سب را می‌توانیم با ارتکازات معنا کنیم. و باید مفهوم عرفی آن را که همان توهین و استخفاف است اخذ نمود.</w:t>
      </w:r>
    </w:p>
    <w:p w:rsidR="008A755F" w:rsidRPr="00A44237" w:rsidRDefault="008A755F" w:rsidP="00A44237">
      <w:pPr>
        <w:pStyle w:val="Heading3"/>
        <w:rPr>
          <w:rtl/>
        </w:rPr>
      </w:pPr>
      <w:bookmarkStart w:id="13" w:name="_Toc427402934"/>
      <w:r w:rsidRPr="00A44237">
        <w:rPr>
          <w:rtl/>
        </w:rPr>
        <w:t>انکار امامت</w:t>
      </w:r>
      <w:bookmarkEnd w:id="13"/>
    </w:p>
    <w:p w:rsidR="008A755F" w:rsidRPr="00A44237" w:rsidRDefault="008A755F" w:rsidP="00617076">
      <w:pPr>
        <w:bidi/>
        <w:jc w:val="both"/>
        <w:rPr>
          <w:rFonts w:ascii="IRBadr" w:hAnsi="IRBadr" w:cs="IRBadr"/>
          <w:sz w:val="28"/>
          <w:szCs w:val="28"/>
          <w:rtl/>
          <w:lang w:bidi="fa-IR"/>
        </w:rPr>
      </w:pPr>
      <w:r w:rsidRPr="00A44237">
        <w:rPr>
          <w:rFonts w:ascii="IRBadr" w:hAnsi="IRBadr" w:cs="IRBadr"/>
          <w:sz w:val="28"/>
          <w:szCs w:val="28"/>
          <w:rtl/>
          <w:lang w:bidi="fa-IR"/>
        </w:rPr>
        <w:t xml:space="preserve">نکته دیگری که باید </w:t>
      </w:r>
      <w:r w:rsidR="00EB0902" w:rsidRPr="00A44237">
        <w:rPr>
          <w:rFonts w:ascii="IRBadr" w:hAnsi="IRBadr" w:cs="IRBadr"/>
          <w:sz w:val="28"/>
          <w:szCs w:val="28"/>
          <w:rtl/>
          <w:lang w:bidi="fa-IR"/>
        </w:rPr>
        <w:t>موردتوجه</w:t>
      </w:r>
      <w:r w:rsidRPr="00A44237">
        <w:rPr>
          <w:rFonts w:ascii="IRBadr" w:hAnsi="IRBadr" w:cs="IRBadr"/>
          <w:sz w:val="28"/>
          <w:szCs w:val="28"/>
          <w:rtl/>
          <w:lang w:bidi="fa-IR"/>
        </w:rPr>
        <w:t xml:space="preserve"> قرار گیرد این است که انکار امامت می‌کند، سب نامیده نمی‌شود. مگر اینکه محفوف به اموری شود که متصف به بدگویی گردد. مواردی که جزء سب محسوب نمی‌شود، این موارد است؛ انکار فضایل ایشان، نقد و اعتراض غلط. علاوه بر اینکه قاعده در</w:t>
      </w:r>
      <w:r w:rsidR="00617076">
        <w:rPr>
          <w:rFonts w:ascii="IRBadr" w:hAnsi="IRBadr" w:cs="IRBadr" w:hint="cs"/>
          <w:sz w:val="28"/>
          <w:szCs w:val="28"/>
          <w:rtl/>
          <w:lang w:bidi="fa-IR"/>
        </w:rPr>
        <w:t>ء</w:t>
      </w:r>
      <w:r w:rsidRPr="00A44237">
        <w:rPr>
          <w:rFonts w:ascii="IRBadr" w:hAnsi="IRBadr" w:cs="IRBadr"/>
          <w:sz w:val="28"/>
          <w:szCs w:val="28"/>
          <w:rtl/>
          <w:lang w:bidi="fa-IR"/>
        </w:rPr>
        <w:t xml:space="preserve"> نیز خروج آن‌ها را از مفهوم سب تقویت می‌کند.</w:t>
      </w:r>
    </w:p>
    <w:p w:rsidR="008A755F" w:rsidRPr="00A44237" w:rsidRDefault="008A755F" w:rsidP="00A44237">
      <w:pPr>
        <w:pStyle w:val="Heading3"/>
        <w:rPr>
          <w:rtl/>
        </w:rPr>
      </w:pPr>
      <w:bookmarkStart w:id="14" w:name="_Toc427402935"/>
      <w:r w:rsidRPr="00A44237">
        <w:rPr>
          <w:rtl/>
        </w:rPr>
        <w:lastRenderedPageBreak/>
        <w:t>مصادیق سب</w:t>
      </w:r>
      <w:bookmarkEnd w:id="14"/>
    </w:p>
    <w:p w:rsidR="008A755F" w:rsidRPr="00A44237" w:rsidRDefault="008A755F" w:rsidP="00FC3DF0">
      <w:pPr>
        <w:bidi/>
        <w:spacing w:before="100" w:beforeAutospacing="1" w:after="100" w:afterAutospacing="1" w:line="240" w:lineRule="auto"/>
        <w:jc w:val="both"/>
        <w:rPr>
          <w:rFonts w:ascii="IRBadr" w:eastAsia="Times New Roman" w:hAnsi="IRBadr" w:cs="IRBadr"/>
          <w:color w:val="000000"/>
          <w:sz w:val="28"/>
          <w:szCs w:val="28"/>
          <w:rtl/>
          <w:lang w:bidi="fa-IR"/>
        </w:rPr>
      </w:pPr>
      <w:r w:rsidRPr="00A44237">
        <w:rPr>
          <w:rFonts w:ascii="IRBadr" w:eastAsia="Times New Roman" w:hAnsi="IRBadr" w:cs="IRBadr"/>
          <w:sz w:val="28"/>
          <w:szCs w:val="28"/>
          <w:rtl/>
          <w:lang w:bidi="fa-IR"/>
        </w:rPr>
        <w:t xml:space="preserve">اما این موارد را می‌توان از مصادیق آن </w:t>
      </w:r>
      <w:r w:rsidR="00EB0902" w:rsidRPr="00A44237">
        <w:rPr>
          <w:rFonts w:ascii="IRBadr" w:eastAsia="Times New Roman" w:hAnsi="IRBadr" w:cs="IRBadr"/>
          <w:sz w:val="28"/>
          <w:szCs w:val="28"/>
          <w:rtl/>
          <w:lang w:bidi="fa-IR"/>
        </w:rPr>
        <w:t>به‌حساب</w:t>
      </w:r>
      <w:r w:rsidRPr="00A44237">
        <w:rPr>
          <w:rFonts w:ascii="IRBadr" w:eastAsia="Times New Roman" w:hAnsi="IRBadr" w:cs="IRBadr"/>
          <w:sz w:val="28"/>
          <w:szCs w:val="28"/>
          <w:rtl/>
          <w:lang w:bidi="fa-IR"/>
        </w:rPr>
        <w:t xml:space="preserve"> آورد؛ معاذ الله نسبت امور فحشاء، القاب و اسامی و عناوین زشت، نسبت رفتارهای مذموم و هر امری که توهین محسوب می‌شود. سب گاهی به گفتار </w:t>
      </w:r>
      <w:r w:rsidR="00617076">
        <w:rPr>
          <w:rFonts w:ascii="IRBadr" w:eastAsia="Times New Roman" w:hAnsi="IRBadr" w:cs="IRBadr"/>
          <w:sz w:val="28"/>
          <w:szCs w:val="28"/>
          <w:rtl/>
          <w:lang w:bidi="fa-IR"/>
        </w:rPr>
        <w:t>و گاهی</w:t>
      </w:r>
      <w:r w:rsidRPr="00A44237">
        <w:rPr>
          <w:rFonts w:ascii="IRBadr" w:eastAsia="Times New Roman" w:hAnsi="IRBadr" w:cs="IRBadr"/>
          <w:sz w:val="28"/>
          <w:szCs w:val="28"/>
          <w:rtl/>
          <w:lang w:bidi="fa-IR"/>
        </w:rPr>
        <w:t xml:space="preserve"> به نوشتار است. اشاره نیز ظاهراً همین حکم را داشته باشد چه فرد نتواند صحبت کند یا خیر. قصد نیز یکی از امور لازم دیگر در این زمینه است.</w:t>
      </w:r>
    </w:p>
    <w:p w:rsidR="008A755F" w:rsidRPr="00A44237" w:rsidRDefault="008A755F" w:rsidP="00617076">
      <w:pPr>
        <w:pStyle w:val="Heading4"/>
        <w:rPr>
          <w:rtl/>
        </w:rPr>
      </w:pPr>
      <w:bookmarkStart w:id="15" w:name="_Toc427402936"/>
      <w:r w:rsidRPr="00A44237">
        <w:rPr>
          <w:rtl/>
        </w:rPr>
        <w:t>اسلام آوردن ساب</w:t>
      </w:r>
      <w:bookmarkEnd w:id="15"/>
    </w:p>
    <w:p w:rsidR="008A755F" w:rsidRPr="00A44237" w:rsidRDefault="008A755F" w:rsidP="00FC3DF0">
      <w:pPr>
        <w:bidi/>
        <w:spacing w:before="100" w:beforeAutospacing="1" w:after="100" w:afterAutospacing="1" w:line="240" w:lineRule="auto"/>
        <w:jc w:val="both"/>
        <w:rPr>
          <w:rFonts w:ascii="IRBadr" w:eastAsia="Times New Roman" w:hAnsi="IRBadr" w:cs="IRBadr"/>
          <w:color w:val="000000" w:themeColor="text1"/>
          <w:sz w:val="28"/>
          <w:szCs w:val="28"/>
          <w:rtl/>
          <w:lang w:bidi="fa-IR"/>
        </w:rPr>
      </w:pPr>
      <w:r w:rsidRPr="00A44237">
        <w:rPr>
          <w:rFonts w:ascii="IRBadr" w:eastAsia="Times New Roman" w:hAnsi="IRBadr" w:cs="IRBadr"/>
          <w:sz w:val="28"/>
          <w:szCs w:val="28"/>
          <w:rtl/>
          <w:lang w:bidi="fa-IR"/>
        </w:rPr>
        <w:t xml:space="preserve">حکم قتل هم مسلمان و هم کافر را دربر می‌گیرد. </w:t>
      </w:r>
      <w:r w:rsidR="00EB0902" w:rsidRPr="00A44237">
        <w:rPr>
          <w:rFonts w:ascii="IRBadr" w:eastAsia="Times New Roman" w:hAnsi="IRBadr" w:cs="IRBadr"/>
          <w:sz w:val="28"/>
          <w:szCs w:val="28"/>
          <w:rtl/>
          <w:lang w:bidi="fa-IR"/>
        </w:rPr>
        <w:t>نکته‌ای</w:t>
      </w:r>
      <w:r w:rsidRPr="00A44237">
        <w:rPr>
          <w:rFonts w:ascii="IRBadr" w:eastAsia="Times New Roman" w:hAnsi="IRBadr" w:cs="IRBadr"/>
          <w:sz w:val="28"/>
          <w:szCs w:val="28"/>
          <w:rtl/>
          <w:lang w:bidi="fa-IR"/>
        </w:rPr>
        <w:t xml:space="preserve"> که در اینجا مطرح است این است که اگر کافر در حال کفر سب کرد و قبل از اینکه او را بکشند مسلمان شد. آیا </w:t>
      </w:r>
      <w:r w:rsidR="00EB0902" w:rsidRPr="00A44237">
        <w:rPr>
          <w:rFonts w:ascii="IRBadr" w:eastAsia="Times New Roman" w:hAnsi="IRBadr" w:cs="IRBadr"/>
          <w:sz w:val="28"/>
          <w:szCs w:val="28"/>
          <w:rtl/>
          <w:lang w:bidi="fa-IR"/>
        </w:rPr>
        <w:t>بازهم</w:t>
      </w:r>
      <w:r w:rsidRPr="00A44237">
        <w:rPr>
          <w:rFonts w:ascii="IRBadr" w:eastAsia="Times New Roman" w:hAnsi="IRBadr" w:cs="IRBadr"/>
          <w:sz w:val="28"/>
          <w:szCs w:val="28"/>
          <w:rtl/>
          <w:lang w:bidi="fa-IR"/>
        </w:rPr>
        <w:t xml:space="preserve"> آن قصد نافذ است یا نافذ نیست؟ ظاهراً این قصد رفع می‌شود. دلیلش هم قاعده امتنانی </w:t>
      </w:r>
      <w:r w:rsidRPr="00A44237">
        <w:rPr>
          <w:rFonts w:ascii="IRBadr" w:eastAsia="Times New Roman" w:hAnsi="IRBadr" w:cs="IRBadr"/>
          <w:b/>
          <w:bCs/>
          <w:color w:val="000000" w:themeColor="text1"/>
          <w:sz w:val="28"/>
          <w:szCs w:val="28"/>
          <w:rtl/>
          <w:lang w:bidi="fa-IR"/>
        </w:rPr>
        <w:t>«الإسلام یجبّ ما قبله»</w:t>
      </w:r>
      <w:r w:rsidRPr="00A44237">
        <w:rPr>
          <w:rFonts w:ascii="IRBadr" w:eastAsia="Times New Roman" w:hAnsi="IRBadr" w:cs="IRBadr"/>
          <w:b/>
          <w:bCs/>
          <w:color w:val="000000" w:themeColor="text1"/>
          <w:sz w:val="28"/>
          <w:szCs w:val="28"/>
          <w:vertAlign w:val="superscript"/>
          <w:rtl/>
          <w:lang w:bidi="fa-IR"/>
        </w:rPr>
        <w:footnoteReference w:id="6"/>
      </w:r>
      <w:r w:rsidRPr="00A44237">
        <w:rPr>
          <w:rFonts w:ascii="IRBadr" w:eastAsia="Times New Roman" w:hAnsi="IRBadr" w:cs="IRBadr"/>
          <w:color w:val="000000" w:themeColor="text1"/>
          <w:sz w:val="28"/>
          <w:szCs w:val="28"/>
          <w:rtl/>
          <w:lang w:bidi="fa-IR"/>
        </w:rPr>
        <w:t xml:space="preserve"> </w:t>
      </w:r>
      <w:r w:rsidRPr="00A44237">
        <w:rPr>
          <w:rFonts w:ascii="IRBadr" w:eastAsia="Times New Roman" w:hAnsi="IRBadr" w:cs="IRBadr"/>
          <w:sz w:val="28"/>
          <w:szCs w:val="28"/>
          <w:rtl/>
          <w:lang w:bidi="fa-IR"/>
        </w:rPr>
        <w:t>است.</w:t>
      </w:r>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 xml:space="preserve">که گناهانش پاک می‌شود و قضا و اعاده نسبت به اعمال در قبال او لازم نیست. و </w:t>
      </w:r>
      <w:r w:rsidR="00EB0902" w:rsidRPr="00A44237">
        <w:rPr>
          <w:rFonts w:ascii="IRBadr" w:hAnsi="IRBadr" w:cs="IRBadr"/>
          <w:sz w:val="28"/>
          <w:szCs w:val="28"/>
          <w:rtl/>
          <w:lang w:bidi="fa-IR"/>
        </w:rPr>
        <w:t>ازجمله</w:t>
      </w:r>
      <w:r w:rsidRPr="00A44237">
        <w:rPr>
          <w:rFonts w:ascii="IRBadr" w:hAnsi="IRBadr" w:cs="IRBadr"/>
          <w:sz w:val="28"/>
          <w:szCs w:val="28"/>
          <w:rtl/>
          <w:lang w:bidi="fa-IR"/>
        </w:rPr>
        <w:t xml:space="preserve"> راجع به حدود هم </w:t>
      </w:r>
      <w:r w:rsidR="00EB0902" w:rsidRPr="00A44237">
        <w:rPr>
          <w:rFonts w:ascii="IRBadr" w:hAnsi="IRBadr" w:cs="IRBadr"/>
          <w:sz w:val="28"/>
          <w:szCs w:val="28"/>
          <w:rtl/>
          <w:lang w:bidi="fa-IR"/>
        </w:rPr>
        <w:t>همین‌طور</w:t>
      </w:r>
      <w:r w:rsidRPr="00A44237">
        <w:rPr>
          <w:rFonts w:ascii="IRBadr" w:hAnsi="IRBadr" w:cs="IRBadr"/>
          <w:sz w:val="28"/>
          <w:szCs w:val="28"/>
          <w:rtl/>
          <w:lang w:bidi="fa-IR"/>
        </w:rPr>
        <w:t xml:space="preserve"> است. در این قاعده بحث‌های </w:t>
      </w:r>
      <w:r w:rsidR="00EB0902" w:rsidRPr="00A44237">
        <w:rPr>
          <w:rFonts w:ascii="IRBadr" w:hAnsi="IRBadr" w:cs="IRBadr"/>
          <w:sz w:val="28"/>
          <w:szCs w:val="28"/>
          <w:rtl/>
          <w:lang w:bidi="fa-IR"/>
        </w:rPr>
        <w:t>پیچیده‌ای</w:t>
      </w:r>
      <w:r w:rsidRPr="00A44237">
        <w:rPr>
          <w:rFonts w:ascii="IRBadr" w:hAnsi="IRBadr" w:cs="IRBadr"/>
          <w:sz w:val="28"/>
          <w:szCs w:val="28"/>
          <w:rtl/>
          <w:lang w:bidi="fa-IR"/>
        </w:rPr>
        <w:t xml:space="preserve"> وجود دارد اما مستند به روایتی است که مستفیضه است و قابل نفی نیست.</w:t>
      </w:r>
    </w:p>
    <w:p w:rsidR="008A755F" w:rsidRPr="00A44237" w:rsidRDefault="008A755F" w:rsidP="00617076">
      <w:pPr>
        <w:pStyle w:val="Heading4"/>
        <w:rPr>
          <w:rtl/>
        </w:rPr>
      </w:pPr>
      <w:bookmarkStart w:id="16" w:name="_Toc427402937"/>
      <w:r w:rsidRPr="00A44237">
        <w:rPr>
          <w:rtl/>
        </w:rPr>
        <w:t>آثار سب</w:t>
      </w:r>
      <w:bookmarkEnd w:id="16"/>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 xml:space="preserve">در قبال کافری که اثری چاپ نموده و در آن مرتکب این سب شده و </w:t>
      </w:r>
      <w:r w:rsidR="00EB0902" w:rsidRPr="00A44237">
        <w:rPr>
          <w:rFonts w:ascii="IRBadr" w:hAnsi="IRBadr" w:cs="IRBadr"/>
          <w:sz w:val="28"/>
          <w:szCs w:val="28"/>
          <w:rtl/>
          <w:lang w:bidi="fa-IR"/>
        </w:rPr>
        <w:t>هم‌اکنون</w:t>
      </w:r>
      <w:r w:rsidRPr="00A44237">
        <w:rPr>
          <w:rFonts w:ascii="IRBadr" w:hAnsi="IRBadr" w:cs="IRBadr"/>
          <w:sz w:val="28"/>
          <w:szCs w:val="28"/>
          <w:rtl/>
          <w:lang w:bidi="fa-IR"/>
        </w:rPr>
        <w:t xml:space="preserve"> اسلام آورده است، او اگر توانایی جلوگیری انتشار آن اثر را داشته باشد و جلوی آن را نگیرد، بعید نیست که مستحق قتل باشد و الا فلا.</w:t>
      </w:r>
    </w:p>
    <w:p w:rsidR="008A755F" w:rsidRPr="00A44237" w:rsidRDefault="008A755F" w:rsidP="00617076">
      <w:pPr>
        <w:pStyle w:val="Heading4"/>
        <w:rPr>
          <w:rtl/>
        </w:rPr>
      </w:pPr>
      <w:bookmarkStart w:id="17" w:name="_Toc427402938"/>
      <w:r w:rsidRPr="00A44237">
        <w:rPr>
          <w:rtl/>
        </w:rPr>
        <w:t>فوریت این حکم</w:t>
      </w:r>
      <w:bookmarkEnd w:id="17"/>
    </w:p>
    <w:p w:rsidR="008A755F" w:rsidRPr="00A44237" w:rsidRDefault="008A755F" w:rsidP="00FC3DF0">
      <w:pPr>
        <w:bidi/>
        <w:spacing w:before="100" w:beforeAutospacing="1" w:after="100" w:afterAutospacing="1" w:line="240" w:lineRule="auto"/>
        <w:jc w:val="both"/>
        <w:rPr>
          <w:rFonts w:ascii="IRBadr" w:eastAsia="Times New Roman" w:hAnsi="IRBadr" w:cs="IRBadr"/>
          <w:sz w:val="28"/>
          <w:szCs w:val="28"/>
          <w:rtl/>
          <w:lang w:bidi="fa-IR"/>
        </w:rPr>
      </w:pPr>
      <w:r w:rsidRPr="00A44237">
        <w:rPr>
          <w:rFonts w:ascii="IRBadr" w:eastAsia="Times New Roman" w:hAnsi="IRBadr" w:cs="IRBadr"/>
          <w:sz w:val="28"/>
          <w:szCs w:val="28"/>
          <w:rtl/>
          <w:lang w:bidi="fa-IR"/>
        </w:rPr>
        <w:t xml:space="preserve">سؤال دیگری هم ممکن است مطرح بشود که آیا این حکم فوری است یا فوری نیست؟ این تکلیفی است که </w:t>
      </w:r>
      <w:r w:rsidR="00EB0902" w:rsidRPr="00A44237">
        <w:rPr>
          <w:rFonts w:ascii="IRBadr" w:eastAsia="Times New Roman" w:hAnsi="IRBadr" w:cs="IRBadr"/>
          <w:sz w:val="28"/>
          <w:szCs w:val="28"/>
          <w:rtl/>
          <w:lang w:bidi="fa-IR"/>
        </w:rPr>
        <w:t>علی‌القاعده</w:t>
      </w:r>
      <w:r w:rsidRPr="00A44237">
        <w:rPr>
          <w:rFonts w:ascii="IRBadr" w:eastAsia="Times New Roman" w:hAnsi="IRBadr" w:cs="IRBadr"/>
          <w:sz w:val="28"/>
          <w:szCs w:val="28"/>
          <w:rtl/>
          <w:lang w:bidi="fa-IR"/>
        </w:rPr>
        <w:t xml:space="preserve"> </w:t>
      </w:r>
      <w:r w:rsidR="00EB0902" w:rsidRPr="00A44237">
        <w:rPr>
          <w:rFonts w:ascii="IRBadr" w:eastAsia="Times New Roman" w:hAnsi="IRBadr" w:cs="IRBadr"/>
          <w:sz w:val="28"/>
          <w:szCs w:val="28"/>
          <w:rtl/>
          <w:lang w:bidi="fa-IR"/>
        </w:rPr>
        <w:t>به‌مجرداینکه</w:t>
      </w:r>
      <w:r w:rsidRPr="00A44237">
        <w:rPr>
          <w:rFonts w:ascii="IRBadr" w:eastAsia="Times New Roman" w:hAnsi="IRBadr" w:cs="IRBadr"/>
          <w:sz w:val="28"/>
          <w:szCs w:val="28"/>
          <w:rtl/>
          <w:lang w:bidi="fa-IR"/>
        </w:rPr>
        <w:t xml:space="preserve"> صادر شد، تکلیف منجز می‌شود و باید اجرا شود. ولی </w:t>
      </w:r>
      <w:r w:rsidR="00EB0902" w:rsidRPr="00A44237">
        <w:rPr>
          <w:rFonts w:ascii="IRBadr" w:eastAsia="Times New Roman" w:hAnsi="IRBadr" w:cs="IRBadr"/>
          <w:sz w:val="28"/>
          <w:szCs w:val="28"/>
          <w:rtl/>
          <w:lang w:bidi="fa-IR"/>
        </w:rPr>
        <w:t>این‌طور</w:t>
      </w:r>
      <w:r w:rsidRPr="00A44237">
        <w:rPr>
          <w:rFonts w:ascii="IRBadr" w:eastAsia="Times New Roman" w:hAnsi="IRBadr" w:cs="IRBadr"/>
          <w:sz w:val="28"/>
          <w:szCs w:val="28"/>
          <w:rtl/>
          <w:lang w:bidi="fa-IR"/>
        </w:rPr>
        <w:t xml:space="preserve"> نیست که اگر فوری اقدام نکرد ساقط بشود. پس این حکم حالت فوراً ففوراً دارد. البته امر دلالت بر فور نمی‌کند. می‌گوید باید این تکلیف اجرا بشود. عدم اقدام به این تکلیف معصیت دارد، اما اینکه فوری باشد، از خود امر بیرون نمی‌آید. اما در اینجا تعبیر «</w:t>
      </w:r>
      <w:r w:rsidRPr="00A44237">
        <w:rPr>
          <w:rFonts w:ascii="IRBadr" w:eastAsia="Times New Roman" w:hAnsi="IRBadr" w:cs="IRBadr"/>
          <w:b/>
          <w:bCs/>
          <w:color w:val="000000" w:themeColor="text1"/>
          <w:sz w:val="28"/>
          <w:szCs w:val="28"/>
          <w:rtl/>
          <w:lang w:bidi="fa-IR"/>
        </w:rPr>
        <w:t>یقْتُلُهُ الْأَدْنَی فَالْأَدْنَی»</w:t>
      </w:r>
      <w:r w:rsidRPr="00A44237">
        <w:rPr>
          <w:rFonts w:ascii="IRBadr" w:eastAsia="Times New Roman" w:hAnsi="IRBadr" w:cs="IRBadr"/>
          <w:sz w:val="28"/>
          <w:szCs w:val="28"/>
          <w:rtl/>
          <w:lang w:bidi="fa-IR"/>
        </w:rPr>
        <w:t xml:space="preserve"> یک مقدار ظهور در این فوریت دارد. و از آن وجوبی کفایی استشمام می‌شود. علاوه بر اینکه روایات دیگری نیز مبنی بر عدم تأخیر در حدود مطرح شد؛</w:t>
      </w:r>
    </w:p>
    <w:p w:rsidR="008A755F" w:rsidRPr="00A44237" w:rsidRDefault="008A755F" w:rsidP="00FC3DF0">
      <w:pPr>
        <w:bidi/>
        <w:spacing w:before="100" w:beforeAutospacing="1" w:after="100" w:afterAutospacing="1" w:line="240" w:lineRule="auto"/>
        <w:jc w:val="both"/>
        <w:rPr>
          <w:rFonts w:ascii="IRBadr" w:eastAsia="Times New Roman" w:hAnsi="IRBadr" w:cs="IRBadr"/>
          <w:b/>
          <w:bCs/>
          <w:sz w:val="28"/>
          <w:szCs w:val="28"/>
          <w:highlight w:val="yellow"/>
          <w:rtl/>
          <w:lang w:bidi="fa-IR"/>
        </w:rPr>
      </w:pPr>
      <w:r w:rsidRPr="00A44237">
        <w:rPr>
          <w:rFonts w:ascii="IRBadr" w:eastAsia="Times New Roman" w:hAnsi="IRBadr" w:cs="IRBadr"/>
          <w:b/>
          <w:bCs/>
          <w:color w:val="000000" w:themeColor="text1"/>
          <w:sz w:val="28"/>
          <w:szCs w:val="28"/>
          <w:rtl/>
          <w:lang w:bidi="fa-IR"/>
        </w:rPr>
        <w:lastRenderedPageBreak/>
        <w:t xml:space="preserve">«مُحَمَّدُ بْنُ الْحَسَنِ بِإِسْنَادِهِ عَنْ مُحَمَّدِ بْنِ أَحْمَدَ بْنِ یحْیی عَنْ بُنَانِ بْنِ مُحَمَّدٍ عَنْ أَبِیهِ عَنِ ابْنِ الْمُغِیرَةِ عَنِ السَّکونِی عَنْ جَعْفَرٍ عَنْ أَبِیهِ عَنْ عَلِی ع فِی حَدِیثٍ قَالَ: لَیسَ فِی الْحُدُودِ نَظَرُ سَاعَةٍ.» </w:t>
      </w:r>
      <w:r w:rsidRPr="00A44237">
        <w:rPr>
          <w:rFonts w:ascii="IRBadr" w:eastAsia="Times New Roman" w:hAnsi="IRBadr" w:cs="IRBadr"/>
          <w:b/>
          <w:bCs/>
          <w:color w:val="000000" w:themeColor="text1"/>
          <w:sz w:val="28"/>
          <w:szCs w:val="28"/>
          <w:vertAlign w:val="superscript"/>
          <w:rtl/>
          <w:lang w:bidi="fa-IR"/>
        </w:rPr>
        <w:footnoteReference w:id="7"/>
      </w:r>
    </w:p>
    <w:p w:rsidR="008A755F" w:rsidRPr="00617076" w:rsidRDefault="008A755F" w:rsidP="00617076">
      <w:pPr>
        <w:pStyle w:val="Heading4"/>
        <w:rPr>
          <w:rtl/>
        </w:rPr>
      </w:pPr>
      <w:bookmarkStart w:id="18" w:name="_Toc427402939"/>
      <w:r w:rsidRPr="00617076">
        <w:rPr>
          <w:rtl/>
        </w:rPr>
        <w:t>سقوط قتل با توبه</w:t>
      </w:r>
      <w:bookmarkEnd w:id="18"/>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سؤال دیگر این است که آیا با توبه قتل ساقط می‌شود یا نمی‌شود؟</w:t>
      </w:r>
    </w:p>
    <w:p w:rsidR="008A755F" w:rsidRPr="00A44237" w:rsidRDefault="008A755F" w:rsidP="00FC3DF0">
      <w:pPr>
        <w:bidi/>
        <w:jc w:val="both"/>
        <w:rPr>
          <w:rFonts w:ascii="IRBadr" w:hAnsi="IRBadr" w:cs="IRBadr"/>
          <w:sz w:val="28"/>
          <w:szCs w:val="28"/>
          <w:rtl/>
          <w:lang w:bidi="fa-IR"/>
        </w:rPr>
      </w:pPr>
      <w:r w:rsidRPr="00A44237">
        <w:rPr>
          <w:rFonts w:ascii="IRBadr" w:hAnsi="IRBadr" w:cs="IRBadr"/>
          <w:sz w:val="28"/>
          <w:szCs w:val="28"/>
          <w:rtl/>
          <w:lang w:bidi="fa-IR"/>
        </w:rPr>
        <w:t xml:space="preserve">خیر چراکه در توبه دلیل مطلقی نداریم که توبه، آثار را هم </w:t>
      </w:r>
      <w:r w:rsidR="00EB0902" w:rsidRPr="00A44237">
        <w:rPr>
          <w:rFonts w:ascii="IRBadr" w:hAnsi="IRBadr" w:cs="IRBadr"/>
          <w:sz w:val="28"/>
          <w:szCs w:val="28"/>
          <w:rtl/>
          <w:lang w:bidi="fa-IR"/>
        </w:rPr>
        <w:t>برمی‌دارد</w:t>
      </w:r>
      <w:r w:rsidRPr="00A44237">
        <w:rPr>
          <w:rFonts w:ascii="IRBadr" w:hAnsi="IRBadr" w:cs="IRBadr"/>
          <w:sz w:val="28"/>
          <w:szCs w:val="28"/>
          <w:rtl/>
          <w:lang w:bidi="fa-IR"/>
        </w:rPr>
        <w:t>. مانند کسی که نماز نخوانده، حالا اگر توبه کند، بگوییم پس دیگر نماز قضا ندارد.</w:t>
      </w:r>
    </w:p>
    <w:p w:rsidR="00152670" w:rsidRPr="00A44237" w:rsidRDefault="00152670" w:rsidP="00FC3DF0">
      <w:pPr>
        <w:bidi/>
        <w:jc w:val="both"/>
        <w:rPr>
          <w:rFonts w:ascii="IRBadr" w:hAnsi="IRBadr" w:cs="IRBadr"/>
          <w:sz w:val="28"/>
          <w:szCs w:val="28"/>
          <w:rtl/>
          <w:lang w:bidi="fa-IR"/>
        </w:rPr>
      </w:pPr>
      <w:bookmarkStart w:id="19" w:name="_GoBack"/>
      <w:bookmarkEnd w:id="19"/>
    </w:p>
    <w:sectPr w:rsidR="00152670" w:rsidRPr="00A44237"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49" w:rsidRDefault="003E0E49" w:rsidP="000D5800">
      <w:pPr>
        <w:spacing w:after="0" w:line="240" w:lineRule="auto"/>
      </w:pPr>
      <w:r>
        <w:separator/>
      </w:r>
    </w:p>
  </w:endnote>
  <w:endnote w:type="continuationSeparator" w:id="0">
    <w:p w:rsidR="003E0E49" w:rsidRDefault="003E0E49"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Titr">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3989624"/>
      <w:docPartObj>
        <w:docPartGallery w:val="Page Numbers (Bottom of Page)"/>
        <w:docPartUnique/>
      </w:docPartObj>
    </w:sdtPr>
    <w:sdtEndPr/>
    <w:sdtContent>
      <w:p w:rsidR="00FC3DF0" w:rsidRDefault="00FC3DF0">
        <w:pPr>
          <w:pStyle w:val="Footer"/>
          <w:jc w:val="center"/>
        </w:pPr>
        <w:r>
          <w:fldChar w:fldCharType="begin"/>
        </w:r>
        <w:r>
          <w:instrText xml:space="preserve"> PAGE   \* MERGEFORMAT </w:instrText>
        </w:r>
        <w:r>
          <w:fldChar w:fldCharType="separate"/>
        </w:r>
        <w:r w:rsidR="00617076">
          <w:rPr>
            <w:noProof/>
            <w:rtl/>
          </w:rPr>
          <w:t>8</w:t>
        </w:r>
        <w:r>
          <w:rPr>
            <w:noProof/>
          </w:rPr>
          <w:fldChar w:fldCharType="end"/>
        </w:r>
      </w:p>
    </w:sdtContent>
  </w:sdt>
  <w:p w:rsidR="00FC3DF0" w:rsidRDefault="00FC3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49" w:rsidRDefault="003E0E49" w:rsidP="00FC3DF0">
      <w:pPr>
        <w:bidi/>
        <w:spacing w:after="0" w:line="240" w:lineRule="auto"/>
      </w:pPr>
      <w:r>
        <w:separator/>
      </w:r>
    </w:p>
  </w:footnote>
  <w:footnote w:type="continuationSeparator" w:id="0">
    <w:p w:rsidR="003E0E49" w:rsidRDefault="003E0E49" w:rsidP="000D5800">
      <w:pPr>
        <w:spacing w:after="0" w:line="240" w:lineRule="auto"/>
      </w:pPr>
      <w:r>
        <w:continuationSeparator/>
      </w:r>
    </w:p>
  </w:footnote>
  <w:footnote w:id="1">
    <w:p w:rsidR="008A755F" w:rsidRPr="00FC3DF0" w:rsidRDefault="008A755F" w:rsidP="008A755F">
      <w:pPr>
        <w:pStyle w:val="FootnoteText"/>
        <w:rPr>
          <w:b/>
          <w:bCs/>
          <w:rtl/>
        </w:rPr>
      </w:pPr>
      <w:r w:rsidRPr="00FC3DF0">
        <w:rPr>
          <w:rStyle w:val="FootnoteReference"/>
          <w:b/>
          <w:bCs/>
        </w:rPr>
        <w:footnoteRef/>
      </w:r>
      <w:r w:rsidRPr="00FC3DF0">
        <w:rPr>
          <w:b/>
          <w:bCs/>
        </w:rPr>
        <w:t xml:space="preserve"> </w:t>
      </w:r>
      <w:r w:rsidRPr="00FC3DF0">
        <w:rPr>
          <w:rFonts w:ascii="Noor_Titr" w:hAnsi="Noor_Titr" w:cs="B Badr" w:hint="cs"/>
          <w:b/>
          <w:bCs/>
          <w:color w:val="000000" w:themeColor="text1"/>
          <w:rtl/>
        </w:rPr>
        <w:t xml:space="preserve">تهذیب الأحکام؛ </w:t>
      </w:r>
      <w:r w:rsidRPr="00FC3DF0">
        <w:rPr>
          <w:rFonts w:ascii="Noor_Titr" w:hAnsi="Noor_Titr" w:cs="B Badr"/>
          <w:b/>
          <w:bCs/>
          <w:color w:val="000000" w:themeColor="text1"/>
          <w:rtl/>
        </w:rPr>
        <w:t>ج 6</w:t>
      </w:r>
      <w:r w:rsidRPr="00FC3DF0">
        <w:rPr>
          <w:rFonts w:ascii="Noor_Titr" w:hAnsi="Noor_Titr" w:cs="B Badr" w:hint="cs"/>
          <w:b/>
          <w:bCs/>
          <w:color w:val="000000" w:themeColor="text1"/>
          <w:rtl/>
        </w:rPr>
        <w:t>، ص: 314</w:t>
      </w:r>
    </w:p>
  </w:footnote>
  <w:footnote w:id="2">
    <w:p w:rsidR="008A755F" w:rsidRPr="00FC3DF0" w:rsidRDefault="008A755F" w:rsidP="008A755F">
      <w:pPr>
        <w:pStyle w:val="FootnoteText"/>
        <w:rPr>
          <w:b/>
          <w:bCs/>
          <w:rtl/>
        </w:rPr>
      </w:pPr>
      <w:r w:rsidRPr="00FC3DF0">
        <w:rPr>
          <w:rStyle w:val="FootnoteReference"/>
          <w:b/>
          <w:bCs/>
        </w:rPr>
        <w:footnoteRef/>
      </w:r>
      <w:r w:rsidRPr="00FC3DF0">
        <w:rPr>
          <w:b/>
          <w:bCs/>
        </w:rPr>
        <w:t xml:space="preserve"> </w:t>
      </w:r>
      <w:r w:rsidRPr="00FC3DF0">
        <w:rPr>
          <w:rFonts w:ascii="Noor_Titr" w:hAnsi="Noor_Titr" w:cs="B Badr" w:hint="cs"/>
          <w:b/>
          <w:bCs/>
          <w:color w:val="000000" w:themeColor="text1"/>
          <w:rtl/>
        </w:rPr>
        <w:t xml:space="preserve">وسائل الشیعة؛ </w:t>
      </w:r>
      <w:r w:rsidRPr="00FC3DF0">
        <w:rPr>
          <w:rFonts w:ascii="Noor_Titr" w:hAnsi="Noor_Titr" w:cs="B Badr"/>
          <w:b/>
          <w:bCs/>
          <w:color w:val="000000" w:themeColor="text1"/>
          <w:rtl/>
        </w:rPr>
        <w:t>ج 28</w:t>
      </w:r>
      <w:r w:rsidRPr="00FC3DF0">
        <w:rPr>
          <w:rFonts w:ascii="Noor_Titr" w:hAnsi="Noor_Titr" w:cs="B Badr" w:hint="cs"/>
          <w:b/>
          <w:bCs/>
          <w:color w:val="000000" w:themeColor="text1"/>
          <w:rtl/>
        </w:rPr>
        <w:t>، ص: 50</w:t>
      </w:r>
    </w:p>
  </w:footnote>
  <w:footnote w:id="3">
    <w:p w:rsidR="008A755F" w:rsidRPr="00FC3DF0" w:rsidRDefault="008A755F" w:rsidP="008A755F">
      <w:pPr>
        <w:pStyle w:val="FootnoteText"/>
        <w:rPr>
          <w:b/>
          <w:bCs/>
          <w:rtl/>
        </w:rPr>
      </w:pPr>
      <w:r w:rsidRPr="00FC3DF0">
        <w:rPr>
          <w:rStyle w:val="FootnoteReference"/>
          <w:b/>
          <w:bCs/>
        </w:rPr>
        <w:footnoteRef/>
      </w:r>
      <w:r w:rsidRPr="00FC3DF0">
        <w:rPr>
          <w:b/>
          <w:bCs/>
        </w:rPr>
        <w:t xml:space="preserve"> </w:t>
      </w:r>
      <w:r w:rsidRPr="00FC3DF0">
        <w:rPr>
          <w:rFonts w:ascii="Noor_Titr" w:hAnsi="Noor_Titr" w:cs="B Badr" w:hint="cs"/>
          <w:b/>
          <w:bCs/>
          <w:color w:val="000000" w:themeColor="text1"/>
          <w:rtl/>
        </w:rPr>
        <w:t xml:space="preserve">الکافی (ط - الإسلامیة)؛ </w:t>
      </w:r>
      <w:r w:rsidRPr="00FC3DF0">
        <w:rPr>
          <w:rFonts w:ascii="Noor_Titr" w:hAnsi="Noor_Titr" w:cs="B Badr"/>
          <w:b/>
          <w:bCs/>
          <w:color w:val="000000" w:themeColor="text1"/>
          <w:rtl/>
        </w:rPr>
        <w:t>ج 7</w:t>
      </w:r>
      <w:r w:rsidRPr="00FC3DF0">
        <w:rPr>
          <w:rFonts w:ascii="Noor_Titr" w:hAnsi="Noor_Titr" w:cs="B Badr" w:hint="cs"/>
          <w:b/>
          <w:bCs/>
          <w:color w:val="000000" w:themeColor="text1"/>
          <w:rtl/>
        </w:rPr>
        <w:t>، ص: 259</w:t>
      </w:r>
    </w:p>
  </w:footnote>
  <w:footnote w:id="4">
    <w:p w:rsidR="008A755F" w:rsidRPr="00FC3DF0" w:rsidRDefault="008A755F" w:rsidP="008A755F">
      <w:pPr>
        <w:pStyle w:val="FootnoteText"/>
        <w:rPr>
          <w:b/>
          <w:bCs/>
          <w:rtl/>
        </w:rPr>
      </w:pPr>
      <w:r w:rsidRPr="00FC3DF0">
        <w:rPr>
          <w:rStyle w:val="FootnoteReference"/>
          <w:b/>
          <w:bCs/>
        </w:rPr>
        <w:footnoteRef/>
      </w:r>
      <w:r w:rsidRPr="00FC3DF0">
        <w:rPr>
          <w:b/>
          <w:bCs/>
        </w:rPr>
        <w:t xml:space="preserve"> </w:t>
      </w:r>
      <w:r w:rsidRPr="00FC3DF0">
        <w:rPr>
          <w:rFonts w:ascii="Noor_Titr" w:hAnsi="Noor_Titr" w:cs="B Badr" w:hint="cs"/>
          <w:b/>
          <w:bCs/>
          <w:color w:val="000000" w:themeColor="text1"/>
          <w:rtl/>
        </w:rPr>
        <w:t xml:space="preserve">الکافی (ط - الإسلامیة)؛ </w:t>
      </w:r>
      <w:r w:rsidRPr="00FC3DF0">
        <w:rPr>
          <w:rFonts w:ascii="Noor_Titr" w:hAnsi="Noor_Titr" w:cs="B Badr"/>
          <w:b/>
          <w:bCs/>
          <w:color w:val="000000" w:themeColor="text1"/>
          <w:rtl/>
        </w:rPr>
        <w:t>ج 7</w:t>
      </w:r>
      <w:r w:rsidRPr="00FC3DF0">
        <w:rPr>
          <w:rFonts w:ascii="Noor_Titr" w:hAnsi="Noor_Titr" w:cs="B Badr" w:hint="cs"/>
          <w:b/>
          <w:bCs/>
          <w:color w:val="000000" w:themeColor="text1"/>
          <w:rtl/>
        </w:rPr>
        <w:t>، ص: 375</w:t>
      </w:r>
    </w:p>
  </w:footnote>
  <w:footnote w:id="5">
    <w:p w:rsidR="008A755F" w:rsidRPr="00FC3DF0" w:rsidRDefault="008A755F" w:rsidP="008A755F">
      <w:pPr>
        <w:pStyle w:val="FootnoteText"/>
        <w:rPr>
          <w:b/>
          <w:bCs/>
          <w:rtl/>
        </w:rPr>
      </w:pPr>
      <w:r w:rsidRPr="00FC3DF0">
        <w:rPr>
          <w:rStyle w:val="FootnoteReference"/>
          <w:b/>
          <w:bCs/>
        </w:rPr>
        <w:footnoteRef/>
      </w:r>
      <w:r w:rsidRPr="00FC3DF0">
        <w:rPr>
          <w:b/>
          <w:bCs/>
        </w:rPr>
        <w:t xml:space="preserve"> </w:t>
      </w:r>
      <w:r w:rsidRPr="00FC3DF0">
        <w:rPr>
          <w:rFonts w:ascii="Noor_Titr" w:hAnsi="Noor_Titr" w:cs="B Badr" w:hint="cs"/>
          <w:b/>
          <w:bCs/>
          <w:color w:val="000000" w:themeColor="text1"/>
          <w:rtl/>
        </w:rPr>
        <w:t xml:space="preserve">وسائل الشیعة؛ </w:t>
      </w:r>
      <w:r w:rsidRPr="00FC3DF0">
        <w:rPr>
          <w:rFonts w:ascii="Noor_Titr" w:hAnsi="Noor_Titr" w:cs="B Badr"/>
          <w:b/>
          <w:bCs/>
          <w:color w:val="000000" w:themeColor="text1"/>
          <w:rtl/>
        </w:rPr>
        <w:t>ج 29</w:t>
      </w:r>
      <w:r w:rsidRPr="00FC3DF0">
        <w:rPr>
          <w:rFonts w:ascii="Noor_Titr" w:hAnsi="Noor_Titr" w:cs="B Badr" w:hint="cs"/>
          <w:b/>
          <w:bCs/>
          <w:color w:val="000000" w:themeColor="text1"/>
          <w:rtl/>
        </w:rPr>
        <w:t>، ص: 230</w:t>
      </w:r>
    </w:p>
  </w:footnote>
  <w:footnote w:id="6">
    <w:p w:rsidR="008A755F" w:rsidRPr="00FC3DF0" w:rsidRDefault="008A755F" w:rsidP="008A755F">
      <w:pPr>
        <w:pStyle w:val="FootnoteText"/>
        <w:rPr>
          <w:b/>
          <w:bCs/>
          <w:rtl/>
        </w:rPr>
      </w:pPr>
      <w:r w:rsidRPr="00FC3DF0">
        <w:rPr>
          <w:rStyle w:val="FootnoteReference"/>
          <w:b/>
          <w:bCs/>
        </w:rPr>
        <w:footnoteRef/>
      </w:r>
      <w:r w:rsidRPr="00FC3DF0">
        <w:rPr>
          <w:b/>
          <w:bCs/>
        </w:rPr>
        <w:t xml:space="preserve"> </w:t>
      </w:r>
      <w:r w:rsidRPr="00FC3DF0">
        <w:rPr>
          <w:rFonts w:ascii="Noor_Titr" w:hAnsi="Noor_Titr" w:cs="B Badr" w:hint="cs"/>
          <w:b/>
          <w:bCs/>
          <w:color w:val="000000" w:themeColor="text1"/>
          <w:rtl/>
        </w:rPr>
        <w:t xml:space="preserve">مسالک الأفهام إلی تنقیح شرائع الإسلام؛ </w:t>
      </w:r>
      <w:r w:rsidRPr="00FC3DF0">
        <w:rPr>
          <w:rFonts w:ascii="Noor_Titr" w:hAnsi="Noor_Titr" w:cs="B Badr"/>
          <w:b/>
          <w:bCs/>
          <w:color w:val="000000" w:themeColor="text1"/>
          <w:rtl/>
        </w:rPr>
        <w:t>ج 3</w:t>
      </w:r>
      <w:r w:rsidRPr="00FC3DF0">
        <w:rPr>
          <w:rFonts w:ascii="Noor_Titr" w:hAnsi="Noor_Titr" w:cs="B Badr" w:hint="cs"/>
          <w:b/>
          <w:bCs/>
          <w:color w:val="000000" w:themeColor="text1"/>
          <w:rtl/>
        </w:rPr>
        <w:t>، ص: 73</w:t>
      </w:r>
    </w:p>
  </w:footnote>
  <w:footnote w:id="7">
    <w:p w:rsidR="008A755F" w:rsidRPr="00FC3DF0" w:rsidRDefault="008A755F" w:rsidP="008A755F">
      <w:pPr>
        <w:pStyle w:val="FootnoteText"/>
        <w:rPr>
          <w:b/>
          <w:bCs/>
          <w:rtl/>
        </w:rPr>
      </w:pPr>
      <w:r w:rsidRPr="00FC3DF0">
        <w:rPr>
          <w:rStyle w:val="FootnoteReference"/>
          <w:b/>
          <w:bCs/>
        </w:rPr>
        <w:footnoteRef/>
      </w:r>
      <w:r w:rsidRPr="00FC3DF0">
        <w:rPr>
          <w:b/>
          <w:bCs/>
        </w:rPr>
        <w:t xml:space="preserve"> </w:t>
      </w:r>
      <w:r w:rsidRPr="00FC3DF0">
        <w:rPr>
          <w:rFonts w:ascii="Noor_Titr" w:hAnsi="Noor_Titr" w:cs="B Badr" w:hint="cs"/>
          <w:b/>
          <w:bCs/>
          <w:color w:val="000000" w:themeColor="text1"/>
          <w:rtl/>
        </w:rPr>
        <w:t xml:space="preserve">وسائل الشیعة؛ </w:t>
      </w:r>
      <w:r w:rsidRPr="00FC3DF0">
        <w:rPr>
          <w:rFonts w:ascii="Noor_Titr" w:hAnsi="Noor_Titr" w:cs="B Badr"/>
          <w:b/>
          <w:bCs/>
          <w:color w:val="000000" w:themeColor="text1"/>
          <w:rtl/>
        </w:rPr>
        <w:t>ج 28</w:t>
      </w:r>
      <w:r w:rsidRPr="00FC3DF0">
        <w:rPr>
          <w:rFonts w:ascii="Noor_Titr" w:hAnsi="Noor_Titr" w:cs="B Badr" w:hint="cs"/>
          <w:b/>
          <w:bCs/>
          <w:color w:val="000000" w:themeColor="text1"/>
          <w:rtl/>
        </w:rPr>
        <w:t>، ص: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8A755F">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674B262D" wp14:editId="49048A7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CC203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0" w:name="OLE_LINK1"/>
    <w:bookmarkStart w:id="21" w:name="OLE_LINK2"/>
    <w:r>
      <w:rPr>
        <w:noProof/>
        <w:lang w:bidi="fa-IR"/>
      </w:rPr>
      <w:drawing>
        <wp:inline distT="0" distB="0" distL="0" distR="0" wp14:anchorId="4E405284" wp14:editId="14AA6BA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0"/>
    <w:bookmarkEnd w:id="21"/>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A755F">
      <w:rPr>
        <w:rFonts w:ascii="IranNastaliq" w:hAnsi="IranNastaliq" w:cs="IranNastaliq" w:hint="cs"/>
        <w:sz w:val="40"/>
        <w:szCs w:val="40"/>
        <w:rtl/>
        <w:lang w:bidi="fa-IR"/>
      </w:rPr>
      <w:t>823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66420"/>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373F"/>
    <w:rsid w:val="003D563F"/>
    <w:rsid w:val="003E0E49"/>
    <w:rsid w:val="003E1E58"/>
    <w:rsid w:val="003F1AED"/>
    <w:rsid w:val="0040094C"/>
    <w:rsid w:val="00405199"/>
    <w:rsid w:val="00410699"/>
    <w:rsid w:val="00415360"/>
    <w:rsid w:val="0044591E"/>
    <w:rsid w:val="004651D2"/>
    <w:rsid w:val="00465D26"/>
    <w:rsid w:val="004679F8"/>
    <w:rsid w:val="0047273C"/>
    <w:rsid w:val="00494DC0"/>
    <w:rsid w:val="00496073"/>
    <w:rsid w:val="004B337F"/>
    <w:rsid w:val="004F3596"/>
    <w:rsid w:val="004F56BA"/>
    <w:rsid w:val="00560405"/>
    <w:rsid w:val="00572E2D"/>
    <w:rsid w:val="00592103"/>
    <w:rsid w:val="005941DD"/>
    <w:rsid w:val="005A545E"/>
    <w:rsid w:val="005A5862"/>
    <w:rsid w:val="005B0852"/>
    <w:rsid w:val="005C06AE"/>
    <w:rsid w:val="005C0D0A"/>
    <w:rsid w:val="00610C18"/>
    <w:rsid w:val="00612385"/>
    <w:rsid w:val="0061376C"/>
    <w:rsid w:val="00617076"/>
    <w:rsid w:val="00636EFA"/>
    <w:rsid w:val="0066229C"/>
    <w:rsid w:val="00675B32"/>
    <w:rsid w:val="0069696C"/>
    <w:rsid w:val="006A085A"/>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6562"/>
    <w:rsid w:val="00857C21"/>
    <w:rsid w:val="008644F4"/>
    <w:rsid w:val="00883733"/>
    <w:rsid w:val="008965D2"/>
    <w:rsid w:val="008A236D"/>
    <w:rsid w:val="008A755F"/>
    <w:rsid w:val="008B565A"/>
    <w:rsid w:val="008C3414"/>
    <w:rsid w:val="008D36D5"/>
    <w:rsid w:val="008E3903"/>
    <w:rsid w:val="008F197C"/>
    <w:rsid w:val="008F63E3"/>
    <w:rsid w:val="00913C3B"/>
    <w:rsid w:val="00915509"/>
    <w:rsid w:val="00927388"/>
    <w:rsid w:val="009274FE"/>
    <w:rsid w:val="009401AC"/>
    <w:rsid w:val="009613AC"/>
    <w:rsid w:val="00980643"/>
    <w:rsid w:val="009B46BC"/>
    <w:rsid w:val="009B61C3"/>
    <w:rsid w:val="009C7B4F"/>
    <w:rsid w:val="009F4EB3"/>
    <w:rsid w:val="009F7E77"/>
    <w:rsid w:val="00A06D48"/>
    <w:rsid w:val="00A21834"/>
    <w:rsid w:val="00A31C17"/>
    <w:rsid w:val="00A31FDE"/>
    <w:rsid w:val="00A35AC2"/>
    <w:rsid w:val="00A37C77"/>
    <w:rsid w:val="00A44237"/>
    <w:rsid w:val="00A5418D"/>
    <w:rsid w:val="00A725C2"/>
    <w:rsid w:val="00A769EE"/>
    <w:rsid w:val="00A810A5"/>
    <w:rsid w:val="00A9616A"/>
    <w:rsid w:val="00A96F68"/>
    <w:rsid w:val="00AA2342"/>
    <w:rsid w:val="00AD0304"/>
    <w:rsid w:val="00AD278F"/>
    <w:rsid w:val="00AD27BE"/>
    <w:rsid w:val="00AF0F1A"/>
    <w:rsid w:val="00AF6CE9"/>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438E4"/>
    <w:rsid w:val="00D508CC"/>
    <w:rsid w:val="00D50F4B"/>
    <w:rsid w:val="00D60547"/>
    <w:rsid w:val="00D66444"/>
    <w:rsid w:val="00D76353"/>
    <w:rsid w:val="00D96DC0"/>
    <w:rsid w:val="00DB28BB"/>
    <w:rsid w:val="00DC603F"/>
    <w:rsid w:val="00DD3C0D"/>
    <w:rsid w:val="00DD4864"/>
    <w:rsid w:val="00DD71A2"/>
    <w:rsid w:val="00DE0AAF"/>
    <w:rsid w:val="00DE1DC4"/>
    <w:rsid w:val="00DE3B98"/>
    <w:rsid w:val="00E0639C"/>
    <w:rsid w:val="00E067E6"/>
    <w:rsid w:val="00E12531"/>
    <w:rsid w:val="00E143B0"/>
    <w:rsid w:val="00E55891"/>
    <w:rsid w:val="00E6283A"/>
    <w:rsid w:val="00E732A3"/>
    <w:rsid w:val="00E83A85"/>
    <w:rsid w:val="00E90FC4"/>
    <w:rsid w:val="00EA01EC"/>
    <w:rsid w:val="00EA15B0"/>
    <w:rsid w:val="00EA5D97"/>
    <w:rsid w:val="00EB0902"/>
    <w:rsid w:val="00EC4393"/>
    <w:rsid w:val="00EE1C07"/>
    <w:rsid w:val="00EE2C91"/>
    <w:rsid w:val="00EE3979"/>
    <w:rsid w:val="00EF138C"/>
    <w:rsid w:val="00EF681F"/>
    <w:rsid w:val="00F034CE"/>
    <w:rsid w:val="00F10A0F"/>
    <w:rsid w:val="00F40284"/>
    <w:rsid w:val="00F67976"/>
    <w:rsid w:val="00F70BE1"/>
    <w:rsid w:val="00F76AEB"/>
    <w:rsid w:val="00FC0862"/>
    <w:rsid w:val="00FC1B7D"/>
    <w:rsid w:val="00FC3DF0"/>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A44237"/>
    <w:pPr>
      <w:keepNext/>
      <w:keepLines/>
      <w:bidi/>
      <w:spacing w:before="400" w:after="0" w:line="240" w:lineRule="auto"/>
      <w:contextualSpacing/>
      <w:jc w:val="both"/>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A44237"/>
    <w:pPr>
      <w:keepNext/>
      <w:keepLines/>
      <w:bidi/>
      <w:spacing w:before="340" w:after="0" w:line="240" w:lineRule="auto"/>
      <w:contextualSpacing/>
      <w:jc w:val="both"/>
      <w:outlineLvl w:val="1"/>
    </w:pPr>
    <w:rPr>
      <w:rFonts w:ascii="IRBadr" w:eastAsia="2  Lotus" w:hAnsi="IRBadr" w:cs="IR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A44237"/>
    <w:pPr>
      <w:keepNext/>
      <w:keepLines/>
      <w:bidi/>
      <w:spacing w:before="280" w:after="0" w:line="240" w:lineRule="auto"/>
      <w:contextualSpacing/>
      <w:jc w:val="both"/>
      <w:outlineLvl w:val="2"/>
    </w:pPr>
    <w:rPr>
      <w:rFonts w:ascii="IRBadr" w:eastAsia="2  Lotus" w:hAnsi="IRBadr" w:cs="IR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617076"/>
    <w:pPr>
      <w:ind w:firstLine="0"/>
      <w:outlineLvl w:val="3"/>
    </w:pPr>
    <w:rPr>
      <w:rFonts w:ascii="IRBadr" w:hAnsi="IRBadr" w:cs="IRBadr"/>
      <w:b/>
      <w:bCs/>
      <w:sz w:val="28"/>
      <w:szCs w:val="28"/>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44237"/>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A44237"/>
    <w:rPr>
      <w:rFonts w:ascii="IRBadr" w:eastAsia="2  Lotus" w:hAnsi="IRBadr" w:cs="IRBadr"/>
      <w:bCs/>
      <w:sz w:val="42"/>
      <w:szCs w:val="42"/>
    </w:rPr>
  </w:style>
  <w:style w:type="character" w:customStyle="1" w:styleId="Heading3Char">
    <w:name w:val="Heading 3 Char"/>
    <w:aliases w:val="سرفصل3 Char,سرفصل 3 Char"/>
    <w:link w:val="Heading3"/>
    <w:uiPriority w:val="9"/>
    <w:rsid w:val="00A44237"/>
    <w:rPr>
      <w:rFonts w:ascii="IRBadr" w:eastAsia="2  Lotus" w:hAnsi="IRBadr" w:cs="IRBadr"/>
      <w:bCs/>
      <w:sz w:val="40"/>
      <w:szCs w:val="40"/>
    </w:rPr>
  </w:style>
  <w:style w:type="character" w:customStyle="1" w:styleId="Heading4Char">
    <w:name w:val="Heading 4 Char"/>
    <w:aliases w:val="سرفصل4 Char,سرفصل 4 Char"/>
    <w:link w:val="Heading4"/>
    <w:uiPriority w:val="9"/>
    <w:rsid w:val="00617076"/>
    <w:rPr>
      <w:rFonts w:ascii="IRBadr" w:eastAsia="2  Lotus" w:hAnsi="IRBadr" w:cs="IRBadr"/>
      <w:b/>
      <w:bCs/>
      <w:sz w:val="28"/>
      <w:szCs w:val="28"/>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FC3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A44237"/>
    <w:pPr>
      <w:keepNext/>
      <w:keepLines/>
      <w:bidi/>
      <w:spacing w:before="400" w:after="0" w:line="240" w:lineRule="auto"/>
      <w:contextualSpacing/>
      <w:jc w:val="both"/>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A44237"/>
    <w:pPr>
      <w:keepNext/>
      <w:keepLines/>
      <w:bidi/>
      <w:spacing w:before="340" w:after="0" w:line="240" w:lineRule="auto"/>
      <w:contextualSpacing/>
      <w:jc w:val="both"/>
      <w:outlineLvl w:val="1"/>
    </w:pPr>
    <w:rPr>
      <w:rFonts w:ascii="IRBadr" w:eastAsia="2  Lotus" w:hAnsi="IRBadr" w:cs="IR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A44237"/>
    <w:pPr>
      <w:keepNext/>
      <w:keepLines/>
      <w:bidi/>
      <w:spacing w:before="280" w:after="0" w:line="240" w:lineRule="auto"/>
      <w:contextualSpacing/>
      <w:jc w:val="both"/>
      <w:outlineLvl w:val="2"/>
    </w:pPr>
    <w:rPr>
      <w:rFonts w:ascii="IRBadr" w:eastAsia="2  Lotus" w:hAnsi="IRBadr" w:cs="IR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617076"/>
    <w:pPr>
      <w:ind w:firstLine="0"/>
      <w:outlineLvl w:val="3"/>
    </w:pPr>
    <w:rPr>
      <w:rFonts w:ascii="IRBadr" w:hAnsi="IRBadr" w:cs="IRBadr"/>
      <w:b/>
      <w:bCs/>
      <w:sz w:val="28"/>
      <w:szCs w:val="28"/>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44237"/>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A44237"/>
    <w:rPr>
      <w:rFonts w:ascii="IRBadr" w:eastAsia="2  Lotus" w:hAnsi="IRBadr" w:cs="IRBadr"/>
      <w:bCs/>
      <w:sz w:val="42"/>
      <w:szCs w:val="42"/>
    </w:rPr>
  </w:style>
  <w:style w:type="character" w:customStyle="1" w:styleId="Heading3Char">
    <w:name w:val="Heading 3 Char"/>
    <w:aliases w:val="سرفصل3 Char,سرفصل 3 Char"/>
    <w:link w:val="Heading3"/>
    <w:uiPriority w:val="9"/>
    <w:rsid w:val="00A44237"/>
    <w:rPr>
      <w:rFonts w:ascii="IRBadr" w:eastAsia="2  Lotus" w:hAnsi="IRBadr" w:cs="IRBadr"/>
      <w:bCs/>
      <w:sz w:val="40"/>
      <w:szCs w:val="40"/>
    </w:rPr>
  </w:style>
  <w:style w:type="character" w:customStyle="1" w:styleId="Heading4Char">
    <w:name w:val="Heading 4 Char"/>
    <w:aliases w:val="سرفصل4 Char,سرفصل 4 Char"/>
    <w:link w:val="Heading4"/>
    <w:uiPriority w:val="9"/>
    <w:rsid w:val="00617076"/>
    <w:rPr>
      <w:rFonts w:ascii="IRBadr" w:eastAsia="2  Lotus" w:hAnsi="IRBadr" w:cs="IRBadr"/>
      <w:b/>
      <w:bCs/>
      <w:sz w:val="28"/>
      <w:szCs w:val="28"/>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FC3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7B654-0C97-4A43-BB13-0BEE4820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88</TotalTime>
  <Pages>8</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26</cp:revision>
  <dcterms:created xsi:type="dcterms:W3CDTF">2014-12-20T10:23:00Z</dcterms:created>
  <dcterms:modified xsi:type="dcterms:W3CDTF">2015-08-15T07:23:00Z</dcterms:modified>
</cp:coreProperties>
</file>