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EC" w:rsidRDefault="00657076" w:rsidP="00B01EEC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9B608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9B608F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B01EEC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B01EE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B01EEC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B01EEC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B01EE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B01EEC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B01EEC" w:rsidRDefault="002C4296" w:rsidP="00B01EE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78" w:history="1">
        <w:r w:rsidR="00B01EEC" w:rsidRPr="0034378E">
          <w:rPr>
            <w:rStyle w:val="Hyperlink"/>
            <w:rFonts w:hint="eastAsia"/>
            <w:noProof/>
            <w:rtl/>
          </w:rPr>
          <w:t>اجتماع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657076">
          <w:rPr>
            <w:rStyle w:val="Hyperlink"/>
            <w:rFonts w:hint="eastAsia"/>
            <w:noProof/>
            <w:rtl/>
          </w:rPr>
          <w:t>امرونهی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_Toc431934278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2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79" w:history="1">
        <w:r w:rsidR="00B01EEC" w:rsidRPr="0034378E">
          <w:rPr>
            <w:rStyle w:val="Hyperlink"/>
            <w:rFonts w:hint="eastAsia"/>
            <w:noProof/>
            <w:rtl/>
          </w:rPr>
          <w:t>تنب</w:t>
        </w:r>
        <w:r w:rsidR="00B01EEC" w:rsidRPr="0034378E">
          <w:rPr>
            <w:rStyle w:val="Hyperlink"/>
            <w:rFonts w:hint="cs"/>
            <w:noProof/>
            <w:rtl/>
          </w:rPr>
          <w:t>ی</w:t>
        </w:r>
        <w:r w:rsidR="00B01EEC" w:rsidRPr="0034378E">
          <w:rPr>
            <w:rStyle w:val="Hyperlink"/>
            <w:rFonts w:hint="eastAsia"/>
            <w:noProof/>
            <w:rtl/>
          </w:rPr>
          <w:t>هات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بحث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_Toc431934279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2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0" w:history="1">
        <w:r w:rsidR="00B01EEC" w:rsidRPr="0034378E">
          <w:rPr>
            <w:rStyle w:val="Hyperlink"/>
            <w:rFonts w:hint="eastAsia"/>
            <w:noProof/>
            <w:rtl/>
          </w:rPr>
          <w:t>مرور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بحث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گذشته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_Toc431934280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2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1" w:history="1">
        <w:r w:rsidR="00B01EEC" w:rsidRPr="0034378E">
          <w:rPr>
            <w:rStyle w:val="Hyperlink"/>
            <w:rFonts w:hint="eastAsia"/>
            <w:noProof/>
            <w:rtl/>
          </w:rPr>
          <w:t>مرور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بر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قسم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سوم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_Toc431934281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2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2" w:history="1">
        <w:r w:rsidR="00B01EEC" w:rsidRPr="0034378E">
          <w:rPr>
            <w:rStyle w:val="Hyperlink"/>
            <w:rFonts w:hint="eastAsia"/>
            <w:noProof/>
            <w:rtl/>
          </w:rPr>
          <w:t>بحث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در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عبادات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_Toc431934282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2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3" w:history="1">
        <w:r w:rsidR="00B01EEC" w:rsidRPr="0034378E">
          <w:rPr>
            <w:rStyle w:val="Hyperlink"/>
            <w:rFonts w:hint="eastAsia"/>
            <w:noProof/>
            <w:rtl/>
          </w:rPr>
          <w:t>تقس</w:t>
        </w:r>
        <w:r w:rsidR="00B01EEC" w:rsidRPr="0034378E">
          <w:rPr>
            <w:rStyle w:val="Hyperlink"/>
            <w:rFonts w:hint="cs"/>
            <w:noProof/>
            <w:rtl/>
          </w:rPr>
          <w:t>ی</w:t>
        </w:r>
        <w:r w:rsidR="00B01EEC" w:rsidRPr="0034378E">
          <w:rPr>
            <w:rStyle w:val="Hyperlink"/>
            <w:rFonts w:hint="eastAsia"/>
            <w:noProof/>
            <w:rtl/>
          </w:rPr>
          <w:t>مات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بحث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_Toc431934283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3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4" w:history="1">
        <w:r w:rsidR="00B01EEC" w:rsidRPr="0034378E">
          <w:rPr>
            <w:rStyle w:val="Hyperlink"/>
            <w:rFonts w:hint="eastAsia"/>
            <w:noProof/>
            <w:rtl/>
          </w:rPr>
          <w:t>قسم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اول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و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دوم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_Toc431934284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3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5" w:history="1">
        <w:r w:rsidR="00B01EEC" w:rsidRPr="0034378E">
          <w:rPr>
            <w:rStyle w:val="Hyperlink"/>
            <w:rFonts w:hint="eastAsia"/>
            <w:noProof/>
            <w:rtl/>
          </w:rPr>
          <w:t>فرض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سوم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_Toc431934285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3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6" w:history="1">
        <w:r w:rsidR="00B01EEC" w:rsidRPr="0034378E">
          <w:rPr>
            <w:rStyle w:val="Hyperlink"/>
            <w:rFonts w:hint="eastAsia"/>
            <w:noProof/>
            <w:rtl/>
          </w:rPr>
          <w:t>وجوه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تصح</w:t>
        </w:r>
        <w:r w:rsidR="00B01EEC" w:rsidRPr="0034378E">
          <w:rPr>
            <w:rStyle w:val="Hyperlink"/>
            <w:rFonts w:hint="cs"/>
            <w:noProof/>
            <w:rtl/>
          </w:rPr>
          <w:t>ی</w:t>
        </w:r>
        <w:r w:rsidR="00B01EEC" w:rsidRPr="0034378E">
          <w:rPr>
            <w:rStyle w:val="Hyperlink"/>
            <w:rFonts w:hint="eastAsia"/>
            <w:noProof/>
            <w:rtl/>
          </w:rPr>
          <w:t>ح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فوق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_Toc431934286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3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7" w:history="1">
        <w:r w:rsidR="00B01EEC" w:rsidRPr="0034378E">
          <w:rPr>
            <w:rStyle w:val="Hyperlink"/>
            <w:rFonts w:hint="eastAsia"/>
            <w:noProof/>
            <w:rtl/>
          </w:rPr>
          <w:t>وجه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اول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_Toc431934287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3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34288" w:history="1">
        <w:r w:rsidR="00B01EEC" w:rsidRPr="0034378E">
          <w:rPr>
            <w:rStyle w:val="Hyperlink"/>
            <w:rFonts w:hint="eastAsia"/>
            <w:noProof/>
            <w:rtl/>
          </w:rPr>
          <w:t>وجه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دوم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_Toc431934288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3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89" w:history="1">
        <w:r w:rsidR="00B01EEC" w:rsidRPr="0034378E">
          <w:rPr>
            <w:rStyle w:val="Hyperlink"/>
            <w:rFonts w:hint="eastAsia"/>
            <w:noProof/>
            <w:rtl/>
          </w:rPr>
          <w:t>حکم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در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فرض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جهل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مرکب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،غفلت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و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نس</w:t>
        </w:r>
        <w:r w:rsidR="00B01EEC" w:rsidRPr="0034378E">
          <w:rPr>
            <w:rStyle w:val="Hyperlink"/>
            <w:rFonts w:hint="cs"/>
            <w:noProof/>
            <w:rtl/>
          </w:rPr>
          <w:t>ی</w:t>
        </w:r>
        <w:r w:rsidR="00B01EEC" w:rsidRPr="0034378E">
          <w:rPr>
            <w:rStyle w:val="Hyperlink"/>
            <w:rFonts w:hint="eastAsia"/>
            <w:noProof/>
            <w:rtl/>
          </w:rPr>
          <w:t>ان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_Toc431934289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4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90" w:history="1">
        <w:r w:rsidR="00B01EEC" w:rsidRPr="0034378E">
          <w:rPr>
            <w:rStyle w:val="Hyperlink"/>
            <w:rFonts w:hint="eastAsia"/>
            <w:noProof/>
            <w:rtl/>
          </w:rPr>
          <w:t>ملاحظات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بحث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_Toc431934290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4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91" w:history="1">
        <w:r w:rsidR="00B01EEC" w:rsidRPr="0034378E">
          <w:rPr>
            <w:rStyle w:val="Hyperlink"/>
            <w:rFonts w:hint="eastAsia"/>
            <w:noProof/>
            <w:rtl/>
          </w:rPr>
          <w:t>ملاحظه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اول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_Toc431934291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4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92" w:history="1">
        <w:r w:rsidR="00B01EEC" w:rsidRPr="0034378E">
          <w:rPr>
            <w:rStyle w:val="Hyperlink"/>
            <w:rFonts w:hint="eastAsia"/>
            <w:noProof/>
            <w:rtl/>
          </w:rPr>
          <w:t>ملاحظه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دوم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_Toc431934292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4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93" w:history="1">
        <w:r w:rsidR="00B01EEC" w:rsidRPr="0034378E">
          <w:rPr>
            <w:rStyle w:val="Hyperlink"/>
            <w:rFonts w:hint="eastAsia"/>
            <w:noProof/>
            <w:rtl/>
          </w:rPr>
          <w:t>اشکال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657076">
          <w:rPr>
            <w:rStyle w:val="Hyperlink"/>
            <w:rFonts w:hint="eastAsia"/>
            <w:noProof/>
            <w:rtl/>
          </w:rPr>
          <w:t>آقای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خو</w:t>
        </w:r>
        <w:r w:rsidR="00B01EEC" w:rsidRPr="0034378E">
          <w:rPr>
            <w:rStyle w:val="Hyperlink"/>
            <w:rFonts w:hint="cs"/>
            <w:noProof/>
            <w:rtl/>
          </w:rPr>
          <w:t>یی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_Toc431934293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4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94" w:history="1">
        <w:r w:rsidR="00B01EEC" w:rsidRPr="0034378E">
          <w:rPr>
            <w:rStyle w:val="Hyperlink"/>
            <w:rFonts w:hint="eastAsia"/>
            <w:noProof/>
            <w:rtl/>
          </w:rPr>
          <w:t>اتخاذ</w:t>
        </w:r>
        <w:r w:rsidR="00B01EEC" w:rsidRPr="0034378E">
          <w:rPr>
            <w:rStyle w:val="Hyperlink"/>
            <w:noProof/>
            <w:rtl/>
          </w:rPr>
          <w:t xml:space="preserve"> </w:t>
        </w:r>
        <w:r w:rsidR="00B01EEC" w:rsidRPr="0034378E">
          <w:rPr>
            <w:rStyle w:val="Hyperlink"/>
            <w:rFonts w:hint="eastAsia"/>
            <w:noProof/>
            <w:rtl/>
          </w:rPr>
          <w:t>مبنا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_Toc431934294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5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2C4296" w:rsidP="00B01EE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34295" w:history="1">
        <w:r w:rsidR="00657076">
          <w:rPr>
            <w:rStyle w:val="Hyperlink"/>
            <w:rFonts w:hint="eastAsia"/>
            <w:noProof/>
            <w:rtl/>
          </w:rPr>
          <w:t>جمع‌بندی</w:t>
        </w:r>
        <w:r w:rsidR="00B01EEC">
          <w:rPr>
            <w:noProof/>
            <w:webHidden/>
          </w:rPr>
          <w:tab/>
        </w:r>
        <w:r w:rsidR="00B01EEC">
          <w:rPr>
            <w:noProof/>
            <w:webHidden/>
          </w:rPr>
          <w:fldChar w:fldCharType="begin"/>
        </w:r>
        <w:r w:rsidR="00B01EEC">
          <w:rPr>
            <w:noProof/>
            <w:webHidden/>
          </w:rPr>
          <w:instrText xml:space="preserve"> PAGEREF _Toc431934295 \h </w:instrText>
        </w:r>
        <w:r w:rsidR="00B01EEC">
          <w:rPr>
            <w:noProof/>
            <w:webHidden/>
          </w:rPr>
        </w:r>
        <w:r w:rsidR="00B01EEC">
          <w:rPr>
            <w:noProof/>
            <w:webHidden/>
          </w:rPr>
          <w:fldChar w:fldCharType="separate"/>
        </w:r>
        <w:r w:rsidR="00B01EEC">
          <w:rPr>
            <w:noProof/>
            <w:webHidden/>
          </w:rPr>
          <w:t>5</w:t>
        </w:r>
        <w:r w:rsidR="00B01EEC">
          <w:rPr>
            <w:noProof/>
            <w:webHidden/>
          </w:rPr>
          <w:fldChar w:fldCharType="end"/>
        </w:r>
      </w:hyperlink>
    </w:p>
    <w:p w:rsidR="00B01EEC" w:rsidRDefault="00B01EEC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01EEC" w:rsidRDefault="00B01EEC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E163D5" w:rsidRDefault="00E163D5" w:rsidP="00B01EEC">
      <w:pPr>
        <w:pStyle w:val="Heading1"/>
        <w:rPr>
          <w:rtl/>
        </w:rPr>
      </w:pPr>
      <w:bookmarkStart w:id="1" w:name="_Toc431934278"/>
      <w:r>
        <w:rPr>
          <w:rFonts w:hint="cs"/>
          <w:rtl/>
        </w:rPr>
        <w:lastRenderedPageBreak/>
        <w:t xml:space="preserve">اجتماع </w:t>
      </w:r>
      <w:r w:rsidR="00657076">
        <w:rPr>
          <w:rFonts w:hint="cs"/>
          <w:rtl/>
        </w:rPr>
        <w:t>امرونهی</w:t>
      </w:r>
      <w:bookmarkEnd w:id="1"/>
    </w:p>
    <w:p w:rsidR="00E163D5" w:rsidRDefault="00E163D5" w:rsidP="00B01EEC">
      <w:pPr>
        <w:pStyle w:val="Heading1"/>
        <w:rPr>
          <w:rtl/>
        </w:rPr>
      </w:pPr>
      <w:bookmarkStart w:id="2" w:name="_Toc431934279"/>
      <w:r>
        <w:rPr>
          <w:rFonts w:hint="cs"/>
          <w:rtl/>
        </w:rPr>
        <w:t>تنبیهات بحث</w:t>
      </w:r>
      <w:bookmarkEnd w:id="2"/>
    </w:p>
    <w:p w:rsidR="00E163D5" w:rsidRDefault="00E163D5" w:rsidP="00B01EEC">
      <w:pPr>
        <w:pStyle w:val="Heading1"/>
        <w:rPr>
          <w:rtl/>
        </w:rPr>
      </w:pPr>
      <w:bookmarkStart w:id="3" w:name="_Toc431934280"/>
      <w:r>
        <w:rPr>
          <w:rFonts w:hint="cs"/>
          <w:rtl/>
        </w:rPr>
        <w:t>مرور بحث گذشته</w:t>
      </w:r>
      <w:bookmarkEnd w:id="3"/>
    </w:p>
    <w:p w:rsidR="009B608F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تنبیه اول در ثمره نزاع بود که مرحوم آخوند فرمودند که؛</w:t>
      </w:r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سه نظریه وجود داشت و در قبال هر نظریه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ثمره‌ای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و این ثمره مشخص است که در اتیان به مجمع حاصل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مواطن افتراق بحثی وجود ندارد.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قول به جواز است که در این صورت در محدوده جواز عمل صحیحی خواهد بود چه توصلی و چه تعبدی،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هم‌زمان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اتیان مأمور به فرد گناه کرده است.</w:t>
      </w:r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نظریه دوم امتناع و تقدیم قسمت امر بود،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عمل مطلقاً صحیح است و در اینجا فرقی با سابق وجود دارد که فرد عصیان نکرده است چراکه نهی کنار زده شد.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دو فرض روشن بود.</w:t>
      </w:r>
    </w:p>
    <w:p w:rsidR="00E163D5" w:rsidRDefault="00E163D5" w:rsidP="00B01EEC">
      <w:pPr>
        <w:pStyle w:val="Heading1"/>
        <w:rPr>
          <w:rtl/>
        </w:rPr>
      </w:pPr>
      <w:bookmarkStart w:id="4" w:name="_Toc431934281"/>
      <w:r>
        <w:rPr>
          <w:rFonts w:hint="cs"/>
          <w:rtl/>
        </w:rPr>
        <w:t>مرور بر قسم سوم</w:t>
      </w:r>
      <w:bookmarkEnd w:id="4"/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طبق نظریه سوم که امتناعی باشد و جانب نهی را مقدم نماید،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حاصل خواهد شد؛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فرض توصلیات عملی را که فرد اتیان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با آن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روبه‌روست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انقاذ غریق با ابزار غصبی.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علی‌رغم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امتناعی هستیم و جانب نهی را مقدم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آخوند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عمل صحیح است که برخلاف ظاهر کلی کفایه،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موارد چون اغراض در توصلیات مشخص است،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تحقق غرض مولی کفایت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نظر فرد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قربت نماید.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اشکالاتی وجود دارد که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در اینجا اشکالی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163D5" w:rsidRDefault="00E163D5" w:rsidP="00B01EEC">
      <w:pPr>
        <w:pStyle w:val="Heading2"/>
        <w:rPr>
          <w:rtl/>
        </w:rPr>
      </w:pPr>
      <w:bookmarkStart w:id="5" w:name="_Toc431934282"/>
      <w:r>
        <w:rPr>
          <w:rFonts w:hint="cs"/>
          <w:rtl/>
        </w:rPr>
        <w:t>بحث در عبادات</w:t>
      </w:r>
      <w:bookmarkEnd w:id="5"/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عبادات نکته فوق جاری نخواهد بود چراکه ملاک در اینجا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قابل‌تشخیص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</w:p>
    <w:p w:rsidR="00E163D5" w:rsidRDefault="004B2083" w:rsidP="00B01EEC">
      <w:pPr>
        <w:pStyle w:val="Heading2"/>
        <w:rPr>
          <w:rtl/>
        </w:rPr>
      </w:pPr>
      <w:bookmarkStart w:id="6" w:name="_Toc431934283"/>
      <w:r>
        <w:rPr>
          <w:rFonts w:hint="cs"/>
          <w:rtl/>
        </w:rPr>
        <w:lastRenderedPageBreak/>
        <w:t>تقس</w:t>
      </w:r>
      <w:r w:rsidR="00E163D5">
        <w:rPr>
          <w:rFonts w:hint="cs"/>
          <w:rtl/>
        </w:rPr>
        <w:t>یمات بحث</w:t>
      </w:r>
      <w:bookmarkEnd w:id="6"/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عبادات سه قسم وجود دارد؛</w:t>
      </w:r>
    </w:p>
    <w:p w:rsidR="00E85FAC" w:rsidRDefault="00E85FAC" w:rsidP="00B01EEC">
      <w:pPr>
        <w:pStyle w:val="Heading2"/>
        <w:rPr>
          <w:rtl/>
        </w:rPr>
      </w:pPr>
      <w:bookmarkStart w:id="7" w:name="_Toc431934284"/>
      <w:r>
        <w:rPr>
          <w:rFonts w:hint="cs"/>
          <w:rtl/>
        </w:rPr>
        <w:t>قسم اول و دوم</w:t>
      </w:r>
      <w:bookmarkEnd w:id="7"/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فرد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به‌حکم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آشناست،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همه قائل به فساد عبادت هستند.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این است که جاهل به نحو موضوعی یا حکمی است و جهل او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تقصیری است؛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عبادت او صحیح نخواهد بود.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خاطر جاهل بودن شاید بتواند قصد قربتی داشته باشد.</w:t>
      </w:r>
    </w:p>
    <w:p w:rsidR="00E163D5" w:rsidRDefault="00E163D5" w:rsidP="00B01EEC">
      <w:pPr>
        <w:pStyle w:val="Heading2"/>
        <w:rPr>
          <w:rtl/>
        </w:rPr>
      </w:pPr>
      <w:bookmarkStart w:id="8" w:name="_Toc431934285"/>
      <w:r>
        <w:rPr>
          <w:rFonts w:hint="cs"/>
          <w:rtl/>
        </w:rPr>
        <w:t>فرض سوم</w:t>
      </w:r>
      <w:bookmarkEnd w:id="8"/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حالت سوم به نحو قصوری است مثلاً در موضوعات است که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فحص لازم نیست و یا در احکام است و توان تحقیق برای او وجود ندارد و معذور عندالله است.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برخلاف صور سابق ممکن است عبادت را تصحیح نمود.</w:t>
      </w:r>
    </w:p>
    <w:p w:rsidR="00E85FAC" w:rsidRDefault="00E85FAC" w:rsidP="00B01EEC">
      <w:pPr>
        <w:pStyle w:val="Heading2"/>
        <w:rPr>
          <w:rtl/>
        </w:rPr>
      </w:pPr>
      <w:bookmarkStart w:id="9" w:name="_Toc431934286"/>
      <w:r>
        <w:rPr>
          <w:rFonts w:hint="cs"/>
          <w:rtl/>
        </w:rPr>
        <w:t>وجوه تصحیح فوق</w:t>
      </w:r>
      <w:bookmarkEnd w:id="9"/>
    </w:p>
    <w:p w:rsidR="00E85FAC" w:rsidRDefault="00E85FAC" w:rsidP="00B01EEC">
      <w:pPr>
        <w:pStyle w:val="Heading2"/>
        <w:rPr>
          <w:rtl/>
        </w:rPr>
      </w:pPr>
      <w:bookmarkStart w:id="10" w:name="_Toc431934287"/>
      <w:r>
        <w:rPr>
          <w:rFonts w:hint="cs"/>
          <w:rtl/>
        </w:rPr>
        <w:t>وجه اول</w:t>
      </w:r>
      <w:bookmarkEnd w:id="10"/>
    </w:p>
    <w:p w:rsidR="00E163D5" w:rsidRDefault="00E163D5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وجه از تصحیح فوق این است که مانند توصلیات گفته شود غرض حاصل است.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فی‌الواقع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عبادت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به‌جانب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مقید شده است و امری وجود ندارد اما غرض حاصل است چراکه جهل در اینجا به نحو قصوری است.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بیان مبتنی بر این است که احکام تابع مصالح و مفاسد باشد.</w:t>
      </w:r>
    </w:p>
    <w:p w:rsidR="00E85FAC" w:rsidRDefault="00E85FAC" w:rsidP="00B01EEC">
      <w:pPr>
        <w:pStyle w:val="Heading2"/>
        <w:rPr>
          <w:rtl/>
        </w:rPr>
      </w:pPr>
      <w:bookmarkStart w:id="11" w:name="_Toc431934288"/>
      <w:r>
        <w:rPr>
          <w:rFonts w:hint="cs"/>
          <w:rtl/>
        </w:rPr>
        <w:t>وجه دوم</w:t>
      </w:r>
      <w:bookmarkEnd w:id="11"/>
    </w:p>
    <w:p w:rsidR="00E85FAC" w:rsidRDefault="00E85FAC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در موارد امر قصوری گفته شود که امر بازخواهد گشت.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تقدیم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امربر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معلوم باشد یا معذوریتی وجود نداشته باشد.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با این حالت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امر داشته باشد.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7076"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بررسی شود که تقدیم جانب نهی به نحو مطلق است یا منوط به حالات خاصی است؟</w:t>
      </w:r>
    </w:p>
    <w:p w:rsidR="00E85FAC" w:rsidRDefault="00E85FAC" w:rsidP="00B01EEC">
      <w:pPr>
        <w:pStyle w:val="Heading3"/>
        <w:rPr>
          <w:rtl/>
        </w:rPr>
      </w:pPr>
      <w:bookmarkStart w:id="12" w:name="_Toc431934289"/>
      <w:r>
        <w:rPr>
          <w:rFonts w:hint="cs"/>
          <w:rtl/>
        </w:rPr>
        <w:lastRenderedPageBreak/>
        <w:t>حکم در فرض جهل مرکب،</w:t>
      </w:r>
      <w:r w:rsidR="00B01EEC">
        <w:rPr>
          <w:rtl/>
        </w:rPr>
        <w:t xml:space="preserve"> </w:t>
      </w:r>
      <w:r w:rsidR="00B01EEC">
        <w:rPr>
          <w:rFonts w:hint="eastAsia"/>
          <w:rtl/>
        </w:rPr>
        <w:t>غفلت</w:t>
      </w:r>
      <w:r>
        <w:rPr>
          <w:rFonts w:hint="cs"/>
          <w:rtl/>
        </w:rPr>
        <w:t xml:space="preserve"> و نسیان</w:t>
      </w:r>
      <w:bookmarkEnd w:id="12"/>
    </w:p>
    <w:p w:rsidR="00E85FAC" w:rsidRDefault="00E85FAC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در جهل مرکب، غافل و ناسی اختلاف وجود دارد که؛</w:t>
      </w:r>
    </w:p>
    <w:p w:rsidR="00E85FAC" w:rsidRDefault="00E85FAC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جهل مرکب مانند امام و شاید مشهور جهل را ملحق به جهل قصوری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قبال دو مورد اخیر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ملحق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مشابه اضطرار و عنوان ثانوی اخذ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باید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درزمانی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موارد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 که آیا حکم،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جهل است یا به عناوین ثانوی ملحق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تفصیلی وجود دارد؟</w:t>
      </w:r>
    </w:p>
    <w:p w:rsidR="004B2083" w:rsidRDefault="004B2083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فرمایشی است که مرحوم آخوند در اینجا داشتند.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شهید صدر برای فتوای مشهور بیش از ده وجه ذکر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برخی از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آن را ذکر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B2083" w:rsidRDefault="004B2083" w:rsidP="00B01EEC">
      <w:pPr>
        <w:pStyle w:val="Heading3"/>
        <w:rPr>
          <w:rtl/>
        </w:rPr>
      </w:pPr>
      <w:bookmarkStart w:id="13" w:name="_Toc431934290"/>
      <w:r>
        <w:rPr>
          <w:rFonts w:hint="cs"/>
          <w:rtl/>
        </w:rPr>
        <w:t>ملاحظات بحث</w:t>
      </w:r>
      <w:bookmarkEnd w:id="13"/>
    </w:p>
    <w:p w:rsidR="004B2083" w:rsidRDefault="004B2083" w:rsidP="00B01EEC">
      <w:pPr>
        <w:pStyle w:val="Heading3"/>
        <w:rPr>
          <w:rtl/>
        </w:rPr>
      </w:pPr>
      <w:bookmarkStart w:id="14" w:name="_Toc431934291"/>
      <w:r>
        <w:rPr>
          <w:rFonts w:hint="cs"/>
          <w:rtl/>
        </w:rPr>
        <w:t>ملاحظه اول</w:t>
      </w:r>
      <w:bookmarkEnd w:id="14"/>
    </w:p>
    <w:p w:rsidR="00E85FAC" w:rsidRDefault="004B2083" w:rsidP="006570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ملاحظاتی از جانب بزرگان وجود دارد که یک نوع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آن‌که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بحث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تقریرات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وحید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اصل آن در بیان سید یزدی بوده که قائل به جواز شدند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نظر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ی‌رسید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صحیح است،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نخواهیم داشت.</w:t>
      </w:r>
    </w:p>
    <w:p w:rsidR="004B2083" w:rsidRDefault="004B2083" w:rsidP="00B01EEC">
      <w:pPr>
        <w:pStyle w:val="Heading3"/>
        <w:rPr>
          <w:rtl/>
        </w:rPr>
      </w:pPr>
      <w:bookmarkStart w:id="15" w:name="_Toc431934292"/>
      <w:r>
        <w:rPr>
          <w:rFonts w:hint="cs"/>
          <w:rtl/>
        </w:rPr>
        <w:t>ملاحظه دوم</w:t>
      </w:r>
      <w:bookmarkEnd w:id="15"/>
    </w:p>
    <w:p w:rsidR="00B01EEC" w:rsidRDefault="004B2083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عمده ملاحظاتی که در اینجا بدان پرداخته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مربوط به امتناع و تقدیم جانب نهی است.</w:t>
      </w:r>
    </w:p>
    <w:p w:rsidR="00B01EEC" w:rsidRDefault="004B2083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اولین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ملاحظه‌ای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تقریر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برجسته است و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نیز دارند در توصلیات است.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کلام آخوند در توصلیات نبود امر ولی وجود غرض است.</w:t>
      </w:r>
    </w:p>
    <w:p w:rsidR="00B01EEC" w:rsidRDefault="00B01EEC" w:rsidP="00B01EEC">
      <w:pPr>
        <w:pStyle w:val="Heading3"/>
        <w:rPr>
          <w:rtl/>
        </w:rPr>
      </w:pPr>
      <w:bookmarkStart w:id="16" w:name="_Toc431934293"/>
      <w:r>
        <w:rPr>
          <w:rFonts w:hint="cs"/>
          <w:rtl/>
        </w:rPr>
        <w:t xml:space="preserve">اشکال </w:t>
      </w:r>
      <w:r w:rsidR="00657076">
        <w:rPr>
          <w:rFonts w:hint="cs"/>
          <w:rtl/>
        </w:rPr>
        <w:t>آقای</w:t>
      </w:r>
      <w:r>
        <w:rPr>
          <w:rFonts w:hint="cs"/>
          <w:rtl/>
        </w:rPr>
        <w:t xml:space="preserve"> خویی</w:t>
      </w:r>
      <w:bookmarkEnd w:id="16"/>
    </w:p>
    <w:p w:rsidR="004B2083" w:rsidRDefault="00657076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خویی در این مطلب خدشه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که ما اغراض مولی را از طریق امر کشف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با فقدان آن چگونه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کشف غرض مولی نمود.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اکرام والدین با </w:t>
      </w:r>
      <w:r>
        <w:rPr>
          <w:rFonts w:ascii="IRBadr" w:hAnsi="IRBadr" w:cs="IRBadr" w:hint="cs"/>
          <w:sz w:val="28"/>
          <w:szCs w:val="28"/>
          <w:rtl/>
          <w:lang w:bidi="fa-IR"/>
        </w:rPr>
        <w:t>تحفه‌ای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که حرام است در اینجا خداوند صرف احترام را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و به اغراض </w:t>
      </w:r>
      <w:r>
        <w:rPr>
          <w:rFonts w:ascii="IRBadr" w:hAnsi="IRBadr" w:cs="IRBadr" w:hint="cs"/>
          <w:sz w:val="28"/>
          <w:szCs w:val="28"/>
          <w:rtl/>
          <w:lang w:bidi="fa-IR"/>
        </w:rPr>
        <w:t>ماورای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وجود امر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پی برد.</w:t>
      </w:r>
    </w:p>
    <w:p w:rsidR="004B2083" w:rsidRDefault="004B2083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لذا در اینجا مصلحت و غرض،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مشکوک هستند.</w:t>
      </w:r>
    </w:p>
    <w:p w:rsidR="004B2083" w:rsidRDefault="004B2083" w:rsidP="00B01EEC">
      <w:pPr>
        <w:pStyle w:val="Heading3"/>
        <w:rPr>
          <w:rtl/>
        </w:rPr>
      </w:pPr>
      <w:bookmarkStart w:id="17" w:name="_Toc431934294"/>
      <w:r>
        <w:rPr>
          <w:rFonts w:hint="cs"/>
          <w:rtl/>
        </w:rPr>
        <w:t>اتخاذ مبنا</w:t>
      </w:r>
      <w:bookmarkEnd w:id="17"/>
    </w:p>
    <w:p w:rsidR="00B01EEC" w:rsidRDefault="004B2083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اشکال به نظر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صحیح است چراکه ملاک تام در دست ما نیست.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 استحسانات و مصالح مرسله </w:t>
      </w:r>
      <w:r w:rsidR="00657076">
        <w:rPr>
          <w:rFonts w:ascii="IRBadr" w:hAnsi="IRBadr" w:cs="IRBadr" w:hint="cs"/>
          <w:sz w:val="28"/>
          <w:szCs w:val="28"/>
          <w:rtl/>
          <w:lang w:bidi="fa-IR"/>
        </w:rPr>
        <w:t>به‌راحتی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01EEC" w:rsidRDefault="00657076" w:rsidP="00B01EEC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4B2083" w:rsidRDefault="00657076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نیم‌رخی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از آن در دست ماست و در عبادات به نحو کمتری در دست رس ماست.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قطع وجود دارد که غرض و رضای شارع در آن قرار دارد.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در انجام آن عمل مصالح </w:t>
      </w:r>
      <w:r>
        <w:rPr>
          <w:rFonts w:ascii="IRBadr" w:hAnsi="IRBadr" w:cs="IRBadr" w:hint="cs"/>
          <w:sz w:val="28"/>
          <w:szCs w:val="28"/>
          <w:rtl/>
          <w:lang w:bidi="fa-IR"/>
        </w:rPr>
        <w:t>عالیه‌ای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هرچند با گناهی همراه باشد ولی شارع آن را </w:t>
      </w:r>
      <w:r w:rsidR="00B01EEC">
        <w:rPr>
          <w:rFonts w:ascii="IRBadr" w:hAnsi="IRBadr" w:cs="IRBadr"/>
          <w:sz w:val="28"/>
          <w:szCs w:val="28"/>
          <w:rtl/>
          <w:lang w:bidi="fa-IR"/>
        </w:rPr>
        <w:t>م</w:t>
      </w:r>
      <w:r w:rsidR="00B01EEC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مثل نجات جان </w:t>
      </w:r>
      <w:r>
        <w:rPr>
          <w:rFonts w:ascii="IRBadr" w:hAnsi="IRBadr" w:cs="IRBadr" w:hint="cs"/>
          <w:sz w:val="28"/>
          <w:szCs w:val="28"/>
          <w:rtl/>
          <w:lang w:bidi="fa-IR"/>
        </w:rPr>
        <w:t>یک‌میلیون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انسان که</w:t>
      </w:r>
      <w:r w:rsidR="004B2083">
        <w:rPr>
          <w:rFonts w:ascii="IRBadr" w:hAnsi="IRBadr" w:cs="IRBadr" w:hint="cs"/>
          <w:sz w:val="28"/>
          <w:szCs w:val="28"/>
          <w:rtl/>
          <w:lang w:bidi="fa-IR"/>
        </w:rPr>
        <w:t xml:space="preserve"> بدین نحو است.</w:t>
      </w:r>
    </w:p>
    <w:p w:rsidR="004B2083" w:rsidRPr="009B608F" w:rsidRDefault="004B2083" w:rsidP="00B01EE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4B2083" w:rsidRPr="009B608F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96" w:rsidRDefault="002C4296" w:rsidP="000D5800">
      <w:pPr>
        <w:spacing w:after="0" w:line="240" w:lineRule="auto"/>
      </w:pPr>
      <w:r>
        <w:separator/>
      </w:r>
    </w:p>
  </w:endnote>
  <w:endnote w:type="continuationSeparator" w:id="0">
    <w:p w:rsidR="002C4296" w:rsidRDefault="002C429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76" w:rsidRDefault="00657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76" w:rsidRDefault="00657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76" w:rsidRDefault="00657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96" w:rsidRDefault="002C4296" w:rsidP="000D5800">
      <w:pPr>
        <w:spacing w:after="0" w:line="240" w:lineRule="auto"/>
      </w:pPr>
      <w:r>
        <w:separator/>
      </w:r>
    </w:p>
  </w:footnote>
  <w:footnote w:type="continuationSeparator" w:id="0">
    <w:p w:rsidR="002C4296" w:rsidRDefault="002C4296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76" w:rsidRDefault="00657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9B608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F41F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9B608F">
      <w:rPr>
        <w:rFonts w:ascii="IranNastaliq" w:hAnsi="IranNastaliq" w:cs="IranNastaliq" w:hint="cs"/>
        <w:sz w:val="40"/>
        <w:szCs w:val="40"/>
        <w:rtl/>
        <w:lang w:bidi="fa-IR"/>
      </w:rPr>
      <w:t>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76" w:rsidRDefault="00657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4296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5244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2083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7076"/>
    <w:rsid w:val="0066229C"/>
    <w:rsid w:val="0069696C"/>
    <w:rsid w:val="006A085A"/>
    <w:rsid w:val="006B0BCE"/>
    <w:rsid w:val="006B4C6F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08F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1EEC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163D5"/>
    <w:rsid w:val="00E55891"/>
    <w:rsid w:val="00E6283A"/>
    <w:rsid w:val="00E732A3"/>
    <w:rsid w:val="00E83A85"/>
    <w:rsid w:val="00E85FA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11F7-3CB9-4026-A19C-B89E713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382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28</cp:revision>
  <dcterms:created xsi:type="dcterms:W3CDTF">2014-11-18T06:47:00Z</dcterms:created>
  <dcterms:modified xsi:type="dcterms:W3CDTF">2015-10-07T01:33:00Z</dcterms:modified>
</cp:coreProperties>
</file>